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E75E7">
      <w:pPr>
        <w:rPr>
          <w:rFonts w:hint="eastAsia" w:ascii="黑体" w:hAnsi="黑体" w:eastAsia="黑体"/>
          <w:sz w:val="32"/>
          <w:szCs w:val="32"/>
        </w:rPr>
      </w:pPr>
    </w:p>
    <w:p w14:paraId="7A7DFC0D">
      <w:pPr>
        <w:jc w:val="center"/>
        <w:rPr>
          <w:rFonts w:hint="eastAsia" w:ascii="方正小标宋_GBK" w:hAnsi="宋体" w:eastAsia="方正小标宋_GBK"/>
          <w:sz w:val="44"/>
          <w:szCs w:val="44"/>
        </w:rPr>
      </w:pPr>
    </w:p>
    <w:p w14:paraId="4E3B767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木垒哈萨克自治县市场监督管理局</w:t>
      </w:r>
    </w:p>
    <w:p w14:paraId="5A3C4A8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5604300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9B44B18">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4B1D8E6">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5DAA8BB">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087B1C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0BAE5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D107A2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C2B904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E4AA06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FF75F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01FA4F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908FF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9384B0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FA31BA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F68431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DE27B08">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496CC2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822E3E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D8D4EA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10E8E8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67E4CE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659D3F4">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F24DF6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49C43C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9DFC67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8CE638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0CE16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D46E26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367461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BF858D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175E9D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3985829">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67AF72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6699B31">
      <w:r>
        <w:rPr>
          <w:rFonts w:hint="eastAsia" w:ascii="仿宋_GB2312" w:hAnsi="仿宋_GB2312" w:eastAsia="仿宋_GB2312" w:cs="仿宋_GB2312"/>
          <w:sz w:val="32"/>
          <w:szCs w:val="32"/>
        </w:rPr>
        <w:fldChar w:fldCharType="end"/>
      </w:r>
    </w:p>
    <w:p w14:paraId="7C738DD3">
      <w:pPr>
        <w:rPr>
          <w:rFonts w:ascii="仿宋_GB2312" w:eastAsia="仿宋_GB2312"/>
          <w:sz w:val="32"/>
          <w:szCs w:val="32"/>
        </w:rPr>
      </w:pPr>
      <w:r>
        <w:rPr>
          <w:rFonts w:hint="eastAsia" w:ascii="仿宋_GB2312" w:eastAsia="仿宋_GB2312"/>
          <w:sz w:val="32"/>
          <w:szCs w:val="32"/>
        </w:rPr>
        <w:br w:type="page"/>
      </w:r>
    </w:p>
    <w:p w14:paraId="7814CE7C">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51426E8C">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6BE38F31">
      <w:pPr>
        <w:ind w:firstLine="640" w:firstLineChars="200"/>
        <w:jc w:val="left"/>
        <w:rPr>
          <w:rFonts w:ascii="仿宋_GB2312" w:eastAsia="仿宋_GB2312"/>
          <w:sz w:val="32"/>
          <w:szCs w:val="32"/>
        </w:rPr>
      </w:pPr>
      <w:r>
        <w:rPr>
          <w:rFonts w:hint="eastAsia" w:ascii="仿宋_GB2312" w:eastAsia="仿宋_GB2312"/>
          <w:sz w:val="32"/>
          <w:szCs w:val="32"/>
          <w:lang w:eastAsia="zh-CN"/>
        </w:rPr>
        <w:t>木垒哈萨克自治县</w:t>
      </w:r>
      <w:r>
        <w:rPr>
          <w:rFonts w:hint="eastAsia" w:ascii="仿宋_GB2312" w:eastAsia="仿宋_GB2312"/>
          <w:sz w:val="32"/>
          <w:szCs w:val="32"/>
        </w:rPr>
        <w:t>市场监督管理局的主要职能是主要负责市场综合监督管理和知识产权管理。负责市场主体统一登记注册。负责市场监管和知识产权综合执法工作。配合上级部门开展反垄断执法。负责集贸市场和个体工商户安全生产管理。负责宏观质量管理。</w:t>
      </w:r>
    </w:p>
    <w:p w14:paraId="60D23C73">
      <w:pPr>
        <w:ind w:firstLine="640" w:firstLineChars="200"/>
        <w:jc w:val="left"/>
        <w:rPr>
          <w:rFonts w:ascii="仿宋_GB2312" w:eastAsia="仿宋_GB2312"/>
          <w:sz w:val="32"/>
          <w:szCs w:val="32"/>
        </w:rPr>
      </w:pPr>
      <w:r>
        <w:rPr>
          <w:rFonts w:hint="eastAsia" w:ascii="仿宋_GB2312" w:eastAsia="仿宋_GB2312"/>
          <w:sz w:val="32"/>
          <w:szCs w:val="32"/>
        </w:rPr>
        <w:t>负责产品质量安全监督管理。负责特种设备安全监督管理。负责食品安全监督管理综合协调。负责食品安全监督管理。负责统一管理标准化、计量、检验检测、认证认可工作。负责促进知识产权运用，负责保护知识产权。负责药品、医疗器械和化妆品安全监督管理。负责药品、化妆品不良反应和医疗器械不良事件监测工作。负责本部门科技与信息化建设、新闻宣传。</w:t>
      </w:r>
    </w:p>
    <w:p w14:paraId="7C97C24E">
      <w:pPr>
        <w:ind w:firstLine="640" w:firstLineChars="200"/>
        <w:jc w:val="left"/>
        <w:rPr>
          <w:rFonts w:ascii="仿宋_GB2312" w:eastAsia="仿宋_GB2312"/>
          <w:sz w:val="32"/>
          <w:szCs w:val="32"/>
        </w:rPr>
      </w:pPr>
      <w:r>
        <w:rPr>
          <w:rFonts w:hint="eastAsia" w:ascii="仿宋_GB2312" w:eastAsia="仿宋_GB2312"/>
          <w:sz w:val="32"/>
          <w:szCs w:val="32"/>
        </w:rPr>
        <w:t>承担自治县食品安全委员会的具体工作。完成自治县党委、自治县人民政府交办的其他任务。</w:t>
      </w:r>
    </w:p>
    <w:p w14:paraId="088E0923">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3E4A2C8">
      <w:pPr>
        <w:ind w:firstLine="640" w:firstLineChars="200"/>
        <w:jc w:val="left"/>
        <w:rPr>
          <w:rFonts w:ascii="仿宋_GB2312" w:eastAsia="仿宋_GB2312"/>
          <w:b/>
          <w:sz w:val="32"/>
          <w:szCs w:val="32"/>
        </w:rPr>
      </w:pPr>
      <w:r>
        <w:rPr>
          <w:rFonts w:hint="eastAsia" w:ascii="仿宋_GB2312" w:eastAsia="仿宋_GB2312"/>
          <w:sz w:val="32"/>
          <w:szCs w:val="32"/>
        </w:rPr>
        <w:t>木垒哈萨克自治县市场监督管理局2023年度，实有人数81人，其中：在职人员48人，离休人员0人，退休人员33人。</w:t>
      </w:r>
    </w:p>
    <w:p w14:paraId="04F1A485">
      <w:pPr>
        <w:ind w:firstLine="640" w:firstLineChars="200"/>
        <w:jc w:val="left"/>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9个处室，分别是：办公室、应急管理与信用监管股、知识产权广告价格监管股、行政审批股、食品生产经营监管股、药品化妆品医疗器械监管股、市场执法稽查股、标准计量质量监管股、特种设备安全监察股。</w:t>
      </w:r>
    </w:p>
    <w:p w14:paraId="32093DA4">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278E81E3">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2119BBFB">
      <w:pPr>
        <w:ind w:firstLine="640" w:firstLineChars="200"/>
        <w:jc w:val="left"/>
        <w:rPr>
          <w:rFonts w:ascii="仿宋_GB2312" w:eastAsia="仿宋_GB2312"/>
          <w:sz w:val="32"/>
          <w:szCs w:val="32"/>
        </w:rPr>
      </w:pPr>
      <w:r>
        <w:rPr>
          <w:rFonts w:hint="eastAsia" w:ascii="仿宋_GB2312" w:eastAsia="仿宋_GB2312"/>
          <w:sz w:val="32"/>
          <w:szCs w:val="32"/>
        </w:rPr>
        <w:t>2023年度收入总计1,165.23万元，其中：本年收入合计1,086.15万元，使用非财政拨款结余0.00万元，年初结转和结余79.08万元。</w:t>
      </w:r>
    </w:p>
    <w:p w14:paraId="734D4FD7">
      <w:pPr>
        <w:ind w:firstLine="640" w:firstLineChars="200"/>
        <w:jc w:val="left"/>
        <w:rPr>
          <w:rFonts w:ascii="仿宋_GB2312" w:eastAsia="仿宋_GB2312"/>
          <w:sz w:val="32"/>
          <w:szCs w:val="32"/>
        </w:rPr>
      </w:pPr>
      <w:r>
        <w:rPr>
          <w:rFonts w:hint="eastAsia" w:ascii="仿宋_GB2312" w:eastAsia="仿宋_GB2312"/>
          <w:sz w:val="32"/>
          <w:szCs w:val="32"/>
        </w:rPr>
        <w:t>2023年度支出总计1,165.23万元，其中：本年支出合计1,086.15万元，结余分配0.00万元，年末结转和结余79.08万元。</w:t>
      </w:r>
    </w:p>
    <w:p w14:paraId="77FCEC21">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增加180.55万元</w:t>
      </w:r>
      <w:r>
        <w:rPr>
          <w:rFonts w:hint="eastAsia" w:ascii="仿宋_GB2312" w:eastAsia="仿宋_GB2312"/>
          <w:sz w:val="32"/>
          <w:szCs w:val="32"/>
        </w:rPr>
        <w:t>，增长18.34%，主要原因是：本年单位食品安全工作</w:t>
      </w:r>
      <w:r>
        <w:rPr>
          <w:rFonts w:hint="eastAsia" w:ascii="仿宋_GB2312" w:eastAsia="仿宋_GB2312"/>
          <w:sz w:val="32"/>
          <w:szCs w:val="32"/>
          <w:lang w:val="en-US" w:eastAsia="zh-CN"/>
        </w:rPr>
        <w:t>项目</w:t>
      </w:r>
      <w:r>
        <w:rPr>
          <w:rFonts w:hint="eastAsia" w:ascii="仿宋_GB2312" w:eastAsia="仿宋_GB2312"/>
          <w:sz w:val="32"/>
          <w:szCs w:val="32"/>
        </w:rPr>
        <w:t>经费增加</w:t>
      </w:r>
      <w:r>
        <w:rPr>
          <w:rFonts w:hint="eastAsia" w:ascii="仿宋_GB2312" w:eastAsia="仿宋_GB2312"/>
          <w:sz w:val="32"/>
          <w:szCs w:val="32"/>
          <w:lang w:eastAsia="zh-CN"/>
        </w:rPr>
        <w:t>、地理标志</w:t>
      </w:r>
      <w:r>
        <w:rPr>
          <w:rFonts w:hint="eastAsia" w:ascii="仿宋_GB2312" w:eastAsia="仿宋_GB2312"/>
          <w:sz w:val="32"/>
          <w:szCs w:val="32"/>
        </w:rPr>
        <w:t>鹰嘴豆项目经费</w:t>
      </w:r>
      <w:r>
        <w:rPr>
          <w:rFonts w:hint="eastAsia" w:ascii="仿宋_GB2312" w:eastAsia="仿宋_GB2312"/>
          <w:sz w:val="32"/>
          <w:szCs w:val="32"/>
          <w:lang w:val="en-US" w:eastAsia="zh-CN"/>
        </w:rPr>
        <w:t>增加、</w:t>
      </w:r>
      <w:r>
        <w:rPr>
          <w:rFonts w:hint="eastAsia" w:ascii="仿宋_GB2312" w:eastAsia="仿宋_GB2312"/>
          <w:sz w:val="32"/>
          <w:szCs w:val="32"/>
        </w:rPr>
        <w:t>市场监督管理事务项目经费</w:t>
      </w:r>
      <w:r>
        <w:rPr>
          <w:rFonts w:hint="eastAsia" w:ascii="仿宋_GB2312" w:eastAsia="仿宋_GB2312"/>
          <w:sz w:val="32"/>
          <w:szCs w:val="32"/>
          <w:lang w:val="en-US" w:eastAsia="zh-CN"/>
        </w:rPr>
        <w:t>增加</w:t>
      </w:r>
      <w:r>
        <w:rPr>
          <w:rFonts w:hint="eastAsia" w:ascii="仿宋_GB2312" w:eastAsia="仿宋_GB2312"/>
          <w:sz w:val="32"/>
          <w:szCs w:val="32"/>
        </w:rPr>
        <w:t>。</w:t>
      </w:r>
    </w:p>
    <w:p w14:paraId="3CFBA619">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1D1FED84">
      <w:pPr>
        <w:ind w:firstLine="640" w:firstLineChars="200"/>
        <w:jc w:val="left"/>
        <w:rPr>
          <w:rFonts w:ascii="仿宋_GB2312" w:eastAsia="仿宋_GB2312"/>
          <w:sz w:val="32"/>
          <w:szCs w:val="32"/>
        </w:rPr>
      </w:pPr>
      <w:r>
        <w:rPr>
          <w:rFonts w:hint="eastAsia" w:ascii="仿宋_GB2312" w:eastAsia="仿宋_GB2312"/>
          <w:sz w:val="32"/>
          <w:szCs w:val="32"/>
        </w:rPr>
        <w:t>本年收入1,086.15万元，其中：财政拨款收入</w:t>
      </w:r>
      <w:r>
        <w:rPr>
          <w:rFonts w:hint="eastAsia" w:ascii="仿宋_GB2312" w:eastAsia="仿宋_GB2312"/>
          <w:sz w:val="32"/>
          <w:szCs w:val="32"/>
          <w:lang w:val="zh-CN"/>
        </w:rPr>
        <w:t>1,081.15</w:t>
      </w:r>
      <w:r>
        <w:rPr>
          <w:rFonts w:hint="eastAsia" w:ascii="仿宋_GB2312" w:eastAsia="仿宋_GB2312"/>
          <w:sz w:val="32"/>
          <w:szCs w:val="32"/>
        </w:rPr>
        <w:t>万元，占</w:t>
      </w:r>
      <w:r>
        <w:rPr>
          <w:rFonts w:hint="eastAsia" w:ascii="仿宋_GB2312" w:eastAsia="仿宋_GB2312"/>
          <w:sz w:val="32"/>
          <w:szCs w:val="32"/>
          <w:lang w:val="zh-CN"/>
        </w:rPr>
        <w:t>99.54</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5.00</w:t>
      </w:r>
      <w:r>
        <w:rPr>
          <w:rFonts w:hint="eastAsia" w:ascii="仿宋_GB2312" w:eastAsia="仿宋_GB2312"/>
          <w:sz w:val="32"/>
          <w:szCs w:val="32"/>
        </w:rPr>
        <w:t>万元，占</w:t>
      </w:r>
      <w:r>
        <w:rPr>
          <w:rFonts w:hint="eastAsia" w:ascii="仿宋_GB2312" w:eastAsia="仿宋_GB2312"/>
          <w:sz w:val="32"/>
          <w:szCs w:val="32"/>
          <w:lang w:val="zh-CN"/>
        </w:rPr>
        <w:t>0.46</w:t>
      </w:r>
      <w:r>
        <w:rPr>
          <w:rFonts w:hint="eastAsia" w:ascii="仿宋_GB2312" w:eastAsia="仿宋_GB2312"/>
          <w:sz w:val="32"/>
          <w:szCs w:val="32"/>
        </w:rPr>
        <w:t>%。</w:t>
      </w:r>
    </w:p>
    <w:p w14:paraId="6CE7B206">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FA57E8D">
      <w:pPr>
        <w:ind w:firstLine="640" w:firstLineChars="200"/>
        <w:jc w:val="left"/>
        <w:rPr>
          <w:rFonts w:ascii="仿宋_GB2312" w:eastAsia="仿宋_GB2312"/>
          <w:sz w:val="32"/>
          <w:szCs w:val="32"/>
        </w:rPr>
      </w:pPr>
      <w:r>
        <w:rPr>
          <w:rFonts w:hint="eastAsia" w:ascii="仿宋_GB2312" w:eastAsia="仿宋_GB2312"/>
          <w:sz w:val="32"/>
          <w:szCs w:val="32"/>
        </w:rPr>
        <w:t>本年支出1,086.15万元，其中：基本支出1,055.64万元，占97.19%；项目支出30.51万元，占2.81%；上缴上级支出0.00万元，占0.00%；经营支出0.00万元，占0.00%；对附属单位补助支出0.00万元，占0.00%。</w:t>
      </w:r>
    </w:p>
    <w:p w14:paraId="5AF4B020">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7815B1B5">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1,081.15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1,081.15</w:t>
      </w:r>
      <w:r>
        <w:rPr>
          <w:rFonts w:hint="eastAsia" w:ascii="仿宋_GB2312" w:eastAsia="仿宋_GB2312"/>
          <w:sz w:val="32"/>
          <w:szCs w:val="32"/>
        </w:rPr>
        <w:t>万元。财政拨款支出总计</w:t>
      </w:r>
      <w:r>
        <w:rPr>
          <w:rFonts w:hint="eastAsia" w:ascii="仿宋_GB2312" w:eastAsia="仿宋_GB2312"/>
          <w:sz w:val="32"/>
          <w:szCs w:val="32"/>
          <w:lang w:val="zh-CN"/>
        </w:rPr>
        <w:t>1,081.15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1,081.15</w:t>
      </w:r>
      <w:r>
        <w:rPr>
          <w:rFonts w:hint="eastAsia" w:ascii="仿宋_GB2312" w:eastAsia="仿宋_GB2312"/>
          <w:sz w:val="32"/>
          <w:szCs w:val="32"/>
        </w:rPr>
        <w:t>万元。</w:t>
      </w:r>
    </w:p>
    <w:p w14:paraId="734F7725">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增加175.55万元</w:t>
      </w:r>
      <w:r>
        <w:rPr>
          <w:rFonts w:hint="eastAsia" w:ascii="仿宋_GB2312" w:eastAsia="仿宋_GB2312"/>
          <w:sz w:val="32"/>
          <w:szCs w:val="32"/>
        </w:rPr>
        <w:t>，增长19.38%,主要原因是：本年单位食品安全工作</w:t>
      </w:r>
      <w:r>
        <w:rPr>
          <w:rFonts w:hint="eastAsia" w:ascii="仿宋_GB2312" w:eastAsia="仿宋_GB2312"/>
          <w:sz w:val="32"/>
          <w:szCs w:val="32"/>
          <w:lang w:val="en-US" w:eastAsia="zh-CN"/>
        </w:rPr>
        <w:t>项目</w:t>
      </w:r>
      <w:r>
        <w:rPr>
          <w:rFonts w:hint="eastAsia" w:ascii="仿宋_GB2312" w:eastAsia="仿宋_GB2312"/>
          <w:sz w:val="32"/>
          <w:szCs w:val="32"/>
        </w:rPr>
        <w:t>经费增加</w:t>
      </w:r>
      <w:r>
        <w:rPr>
          <w:rFonts w:hint="eastAsia" w:ascii="仿宋_GB2312" w:eastAsia="仿宋_GB2312"/>
          <w:sz w:val="32"/>
          <w:szCs w:val="32"/>
          <w:lang w:eastAsia="zh-CN"/>
        </w:rPr>
        <w:t>、地理标志</w:t>
      </w:r>
      <w:r>
        <w:rPr>
          <w:rFonts w:hint="eastAsia" w:ascii="仿宋_GB2312" w:eastAsia="仿宋_GB2312"/>
          <w:sz w:val="32"/>
          <w:szCs w:val="32"/>
        </w:rPr>
        <w:t>鹰嘴豆项目经费</w:t>
      </w:r>
      <w:r>
        <w:rPr>
          <w:rFonts w:hint="eastAsia" w:ascii="仿宋_GB2312" w:eastAsia="仿宋_GB2312"/>
          <w:sz w:val="32"/>
          <w:szCs w:val="32"/>
          <w:lang w:val="en-US" w:eastAsia="zh-CN"/>
        </w:rPr>
        <w:t>增加、</w:t>
      </w:r>
      <w:r>
        <w:rPr>
          <w:rFonts w:hint="eastAsia" w:ascii="仿宋_GB2312" w:eastAsia="仿宋_GB2312"/>
          <w:sz w:val="32"/>
          <w:szCs w:val="32"/>
        </w:rPr>
        <w:t>市场监督管理事务项目经费</w:t>
      </w:r>
      <w:r>
        <w:rPr>
          <w:rFonts w:hint="eastAsia" w:ascii="仿宋_GB2312" w:eastAsia="仿宋_GB2312"/>
          <w:sz w:val="32"/>
          <w:szCs w:val="32"/>
          <w:lang w:val="en-US" w:eastAsia="zh-CN"/>
        </w:rPr>
        <w:t>增加</w:t>
      </w:r>
      <w:r>
        <w:rPr>
          <w:rFonts w:hint="eastAsia" w:ascii="仿宋_GB2312" w:eastAsia="仿宋_GB2312"/>
          <w:sz w:val="32"/>
          <w:szCs w:val="32"/>
        </w:rPr>
        <w:t>。与年初预算相比，年初预算数</w:t>
      </w:r>
      <w:r>
        <w:rPr>
          <w:rFonts w:hint="eastAsia" w:ascii="仿宋_GB2312" w:eastAsia="仿宋_GB2312"/>
          <w:sz w:val="32"/>
          <w:szCs w:val="32"/>
          <w:lang w:val="zh-CN"/>
        </w:rPr>
        <w:t>1,012.33</w:t>
      </w:r>
      <w:r>
        <w:rPr>
          <w:rFonts w:hint="eastAsia" w:ascii="仿宋_GB2312" w:eastAsia="仿宋_GB2312"/>
          <w:sz w:val="32"/>
          <w:szCs w:val="32"/>
        </w:rPr>
        <w:t>万元，决算数</w:t>
      </w:r>
      <w:r>
        <w:rPr>
          <w:rFonts w:hint="eastAsia" w:ascii="仿宋_GB2312" w:eastAsia="仿宋_GB2312"/>
          <w:sz w:val="32"/>
          <w:szCs w:val="32"/>
          <w:lang w:val="zh-CN"/>
        </w:rPr>
        <w:t>1,081.15</w:t>
      </w:r>
      <w:r>
        <w:rPr>
          <w:rFonts w:hint="eastAsia" w:ascii="仿宋_GB2312" w:eastAsia="仿宋_GB2312"/>
          <w:sz w:val="32"/>
          <w:szCs w:val="32"/>
        </w:rPr>
        <w:t>万元，预决算差异率6.80%，主要原因是：年中追加</w:t>
      </w:r>
      <w:r>
        <w:rPr>
          <w:rFonts w:hint="eastAsia" w:ascii="仿宋_GB2312" w:eastAsia="仿宋_GB2312"/>
          <w:sz w:val="32"/>
          <w:szCs w:val="32"/>
          <w:lang w:eastAsia="zh-CN"/>
        </w:rPr>
        <w:t>地理标志</w:t>
      </w:r>
      <w:r>
        <w:rPr>
          <w:rFonts w:hint="eastAsia" w:ascii="仿宋_GB2312" w:eastAsia="仿宋_GB2312"/>
          <w:sz w:val="32"/>
          <w:szCs w:val="32"/>
        </w:rPr>
        <w:t>鹰嘴豆项目经费</w:t>
      </w:r>
      <w:r>
        <w:rPr>
          <w:rFonts w:hint="eastAsia" w:ascii="仿宋_GB2312" w:eastAsia="仿宋_GB2312"/>
          <w:sz w:val="32"/>
          <w:szCs w:val="32"/>
          <w:lang w:eastAsia="zh-CN"/>
        </w:rPr>
        <w:t>、</w:t>
      </w:r>
      <w:r>
        <w:rPr>
          <w:rFonts w:hint="eastAsia" w:ascii="仿宋_GB2312" w:eastAsia="仿宋_GB2312"/>
          <w:sz w:val="32"/>
          <w:szCs w:val="32"/>
        </w:rPr>
        <w:t>食品安全工作</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4A9AB329">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2BD81B5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C9CA9BA">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2023年度一般公共预算财政拨款支出1,081.15万元，占本年支出合计的</w:t>
      </w:r>
      <w:r>
        <w:rPr>
          <w:rFonts w:hint="eastAsia" w:ascii="仿宋_GB2312" w:eastAsia="仿宋_GB2312"/>
          <w:sz w:val="32"/>
          <w:szCs w:val="32"/>
          <w:lang w:val="zh-CN"/>
        </w:rPr>
        <w:t>99.54%</w:t>
      </w:r>
      <w:r>
        <w:rPr>
          <w:rFonts w:hint="eastAsia" w:ascii="仿宋_GB2312" w:eastAsia="仿宋_GB2312"/>
          <w:sz w:val="32"/>
          <w:szCs w:val="32"/>
        </w:rPr>
        <w:t>。与上年相比，</w:t>
      </w:r>
      <w:r>
        <w:rPr>
          <w:rFonts w:hint="eastAsia" w:ascii="仿宋_GB2312" w:eastAsia="仿宋_GB2312"/>
          <w:sz w:val="32"/>
          <w:szCs w:val="32"/>
          <w:lang w:val="zh-CN"/>
        </w:rPr>
        <w:t>增加175.55万元</w:t>
      </w:r>
      <w:r>
        <w:rPr>
          <w:rFonts w:hint="eastAsia" w:ascii="仿宋_GB2312" w:eastAsia="仿宋_GB2312"/>
          <w:sz w:val="32"/>
          <w:szCs w:val="32"/>
        </w:rPr>
        <w:t>，增长19.38%,主要原因是：本年单位食品安全工作</w:t>
      </w:r>
      <w:r>
        <w:rPr>
          <w:rFonts w:hint="eastAsia" w:ascii="仿宋_GB2312" w:eastAsia="仿宋_GB2312"/>
          <w:sz w:val="32"/>
          <w:szCs w:val="32"/>
          <w:lang w:val="en-US" w:eastAsia="zh-CN"/>
        </w:rPr>
        <w:t>项目</w:t>
      </w:r>
      <w:r>
        <w:rPr>
          <w:rFonts w:hint="eastAsia" w:ascii="仿宋_GB2312" w:eastAsia="仿宋_GB2312"/>
          <w:sz w:val="32"/>
          <w:szCs w:val="32"/>
        </w:rPr>
        <w:t>经费增加</w:t>
      </w:r>
      <w:r>
        <w:rPr>
          <w:rFonts w:hint="eastAsia" w:ascii="仿宋_GB2312" w:eastAsia="仿宋_GB2312"/>
          <w:sz w:val="32"/>
          <w:szCs w:val="32"/>
          <w:lang w:eastAsia="zh-CN"/>
        </w:rPr>
        <w:t>、地理标志</w:t>
      </w:r>
      <w:r>
        <w:rPr>
          <w:rFonts w:hint="eastAsia" w:ascii="仿宋_GB2312" w:eastAsia="仿宋_GB2312"/>
          <w:sz w:val="32"/>
          <w:szCs w:val="32"/>
        </w:rPr>
        <w:t>鹰嘴豆项目经费</w:t>
      </w:r>
      <w:r>
        <w:rPr>
          <w:rFonts w:hint="eastAsia" w:ascii="仿宋_GB2312" w:eastAsia="仿宋_GB2312"/>
          <w:sz w:val="32"/>
          <w:szCs w:val="32"/>
          <w:lang w:val="en-US" w:eastAsia="zh-CN"/>
        </w:rPr>
        <w:t>增加、</w:t>
      </w:r>
      <w:r>
        <w:rPr>
          <w:rFonts w:hint="eastAsia" w:ascii="仿宋_GB2312" w:eastAsia="仿宋_GB2312"/>
          <w:sz w:val="32"/>
          <w:szCs w:val="32"/>
        </w:rPr>
        <w:t>市场监督管理事务项目经费</w:t>
      </w:r>
      <w:r>
        <w:rPr>
          <w:rFonts w:hint="eastAsia" w:ascii="仿宋_GB2312" w:eastAsia="仿宋_GB2312"/>
          <w:sz w:val="32"/>
          <w:szCs w:val="32"/>
          <w:lang w:val="en-US" w:eastAsia="zh-CN"/>
        </w:rPr>
        <w:t>增加</w:t>
      </w:r>
      <w:r>
        <w:rPr>
          <w:rFonts w:hint="eastAsia" w:ascii="仿宋_GB2312" w:eastAsia="仿宋_GB2312"/>
          <w:sz w:val="32"/>
          <w:szCs w:val="32"/>
        </w:rPr>
        <w:t>。与年初预算相比，年初预算数</w:t>
      </w:r>
      <w:r>
        <w:rPr>
          <w:rFonts w:hint="eastAsia" w:ascii="仿宋_GB2312" w:eastAsia="仿宋_GB2312"/>
          <w:sz w:val="32"/>
          <w:szCs w:val="32"/>
          <w:lang w:val="zh-CN"/>
        </w:rPr>
        <w:t>1,012.33</w:t>
      </w:r>
      <w:r>
        <w:rPr>
          <w:rFonts w:hint="eastAsia" w:ascii="仿宋_GB2312" w:eastAsia="仿宋_GB2312"/>
          <w:sz w:val="32"/>
          <w:szCs w:val="32"/>
        </w:rPr>
        <w:t>万元，决算数</w:t>
      </w:r>
      <w:r>
        <w:rPr>
          <w:rFonts w:hint="eastAsia" w:ascii="仿宋_GB2312" w:eastAsia="仿宋_GB2312"/>
          <w:sz w:val="32"/>
          <w:szCs w:val="32"/>
          <w:lang w:val="zh-CN"/>
        </w:rPr>
        <w:t>1,081.15</w:t>
      </w:r>
      <w:r>
        <w:rPr>
          <w:rFonts w:hint="eastAsia" w:ascii="仿宋_GB2312" w:eastAsia="仿宋_GB2312"/>
          <w:sz w:val="32"/>
          <w:szCs w:val="32"/>
        </w:rPr>
        <w:t>万元，预决算差异率</w:t>
      </w:r>
      <w:r>
        <w:rPr>
          <w:rFonts w:hint="eastAsia" w:ascii="仿宋_GB2312" w:eastAsia="仿宋_GB2312"/>
          <w:sz w:val="32"/>
          <w:szCs w:val="32"/>
          <w:lang w:val="zh-CN"/>
        </w:rPr>
        <w:t>6.80%</w:t>
      </w:r>
      <w:r>
        <w:rPr>
          <w:rFonts w:hint="eastAsia" w:ascii="仿宋_GB2312" w:eastAsia="仿宋_GB2312"/>
          <w:sz w:val="32"/>
          <w:szCs w:val="32"/>
        </w:rPr>
        <w:t>，主要原因是：年中追加</w:t>
      </w:r>
      <w:r>
        <w:rPr>
          <w:rFonts w:hint="eastAsia" w:ascii="仿宋_GB2312" w:eastAsia="仿宋_GB2312"/>
          <w:sz w:val="32"/>
          <w:szCs w:val="32"/>
          <w:lang w:eastAsia="zh-CN"/>
        </w:rPr>
        <w:t>地理标志</w:t>
      </w:r>
      <w:r>
        <w:rPr>
          <w:rFonts w:hint="eastAsia" w:ascii="仿宋_GB2312" w:eastAsia="仿宋_GB2312"/>
          <w:sz w:val="32"/>
          <w:szCs w:val="32"/>
        </w:rPr>
        <w:t>鹰嘴豆项目经费</w:t>
      </w:r>
      <w:r>
        <w:rPr>
          <w:rFonts w:hint="eastAsia" w:ascii="仿宋_GB2312" w:eastAsia="仿宋_GB2312"/>
          <w:sz w:val="32"/>
          <w:szCs w:val="32"/>
          <w:lang w:eastAsia="zh-CN"/>
        </w:rPr>
        <w:t>、</w:t>
      </w:r>
      <w:r>
        <w:rPr>
          <w:rFonts w:hint="eastAsia" w:ascii="仿宋_GB2312" w:eastAsia="仿宋_GB2312"/>
          <w:sz w:val="32"/>
          <w:szCs w:val="32"/>
        </w:rPr>
        <w:t>食品安全工作</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4127F9FF">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5AE72AB">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777.16</w:t>
      </w:r>
      <w:r>
        <w:rPr>
          <w:rFonts w:ascii="仿宋_GB2312" w:eastAsia="仿宋_GB2312"/>
          <w:kern w:val="2"/>
          <w:sz w:val="32"/>
          <w:szCs w:val="32"/>
          <w:lang w:val="zh-CN"/>
        </w:rPr>
        <w:t>万元，占</w:t>
      </w:r>
      <w:r>
        <w:rPr>
          <w:rFonts w:hint="eastAsia" w:ascii="仿宋_GB2312" w:eastAsia="仿宋_GB2312"/>
          <w:kern w:val="2"/>
          <w:sz w:val="32"/>
          <w:szCs w:val="32"/>
          <w:lang w:val="zh-CN"/>
        </w:rPr>
        <w:t>71.88</w:t>
      </w:r>
      <w:r>
        <w:rPr>
          <w:rFonts w:ascii="仿宋_GB2312" w:eastAsia="仿宋_GB2312"/>
          <w:kern w:val="2"/>
          <w:sz w:val="32"/>
          <w:szCs w:val="32"/>
          <w:lang w:val="zh-CN"/>
        </w:rPr>
        <w:t>%；</w:t>
      </w:r>
    </w:p>
    <w:p w14:paraId="4E321CF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223.89</w:t>
      </w:r>
      <w:r>
        <w:rPr>
          <w:rFonts w:ascii="仿宋_GB2312" w:eastAsia="仿宋_GB2312"/>
          <w:kern w:val="2"/>
          <w:sz w:val="32"/>
          <w:szCs w:val="32"/>
          <w:lang w:val="zh-CN"/>
        </w:rPr>
        <w:t>万元，占</w:t>
      </w:r>
      <w:r>
        <w:rPr>
          <w:rFonts w:hint="eastAsia" w:ascii="仿宋_GB2312" w:eastAsia="仿宋_GB2312"/>
          <w:kern w:val="2"/>
          <w:sz w:val="32"/>
          <w:szCs w:val="32"/>
          <w:lang w:val="zh-CN"/>
        </w:rPr>
        <w:t>20.71</w:t>
      </w:r>
      <w:r>
        <w:rPr>
          <w:rFonts w:ascii="仿宋_GB2312" w:eastAsia="仿宋_GB2312"/>
          <w:kern w:val="2"/>
          <w:sz w:val="32"/>
          <w:szCs w:val="32"/>
          <w:lang w:val="zh-CN"/>
        </w:rPr>
        <w:t>%；</w:t>
      </w:r>
    </w:p>
    <w:p w14:paraId="74BD67D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61.43</w:t>
      </w:r>
      <w:r>
        <w:rPr>
          <w:rFonts w:ascii="仿宋_GB2312" w:eastAsia="仿宋_GB2312"/>
          <w:kern w:val="2"/>
          <w:sz w:val="32"/>
          <w:szCs w:val="32"/>
          <w:lang w:val="zh-CN"/>
        </w:rPr>
        <w:t>万元，占</w:t>
      </w:r>
      <w:r>
        <w:rPr>
          <w:rFonts w:hint="eastAsia" w:ascii="仿宋_GB2312" w:eastAsia="仿宋_GB2312"/>
          <w:kern w:val="2"/>
          <w:sz w:val="32"/>
          <w:szCs w:val="32"/>
          <w:lang w:val="zh-CN"/>
        </w:rPr>
        <w:t>5.68</w:t>
      </w:r>
      <w:r>
        <w:rPr>
          <w:rFonts w:ascii="仿宋_GB2312" w:eastAsia="仿宋_GB2312"/>
          <w:kern w:val="2"/>
          <w:sz w:val="32"/>
          <w:szCs w:val="32"/>
          <w:lang w:val="zh-CN"/>
        </w:rPr>
        <w:t>%；</w:t>
      </w:r>
    </w:p>
    <w:p w14:paraId="69CA322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18.66</w:t>
      </w:r>
      <w:r>
        <w:rPr>
          <w:rFonts w:ascii="仿宋_GB2312" w:eastAsia="仿宋_GB2312"/>
          <w:kern w:val="2"/>
          <w:sz w:val="32"/>
          <w:szCs w:val="32"/>
          <w:lang w:val="zh-CN"/>
        </w:rPr>
        <w:t>万元，占</w:t>
      </w:r>
      <w:r>
        <w:rPr>
          <w:rFonts w:hint="eastAsia" w:ascii="仿宋_GB2312" w:eastAsia="仿宋_GB2312"/>
          <w:kern w:val="2"/>
          <w:sz w:val="32"/>
          <w:szCs w:val="32"/>
          <w:lang w:val="zh-CN"/>
        </w:rPr>
        <w:t>1.73</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5F5D1F6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28A7016">
      <w:pPr>
        <w:ind w:firstLine="640" w:firstLineChars="200"/>
        <w:jc w:val="left"/>
        <w:rPr>
          <w:rFonts w:ascii="仿宋_GB2312" w:eastAsia="仿宋_GB2312"/>
          <w:sz w:val="32"/>
          <w:szCs w:val="32"/>
        </w:rPr>
      </w:pPr>
      <w:r>
        <w:rPr>
          <w:rFonts w:hint="eastAsia" w:ascii="仿宋_GB2312" w:eastAsia="仿宋_GB2312"/>
          <w:sz w:val="32"/>
          <w:szCs w:val="32"/>
        </w:rPr>
        <w:t>1.一般公共服务支出（类）市场监督管理事务（款）其他市场监督管理事务（项）:支出决算数为13.70万元，比上年决算增加13.70万元，增长100%，主要原因是：本年单位新增市场监督管理事务项目经费。</w:t>
      </w:r>
    </w:p>
    <w:p w14:paraId="63FAC246">
      <w:pPr>
        <w:ind w:firstLine="640" w:firstLineChars="200"/>
        <w:jc w:val="left"/>
        <w:rPr>
          <w:rFonts w:ascii="仿宋_GB2312" w:eastAsia="仿宋_GB2312"/>
          <w:sz w:val="32"/>
          <w:szCs w:val="32"/>
        </w:rPr>
      </w:pPr>
      <w:r>
        <w:rPr>
          <w:rFonts w:hint="eastAsia" w:ascii="仿宋_GB2312" w:eastAsia="仿宋_GB2312"/>
          <w:sz w:val="32"/>
          <w:szCs w:val="32"/>
        </w:rPr>
        <w:t>2.一般公共服务支出（类）市场监督管理事务（款）行政运行（项）:支出决算数为475.62万元，比上年决算减少270.85万元，下降36.28%，主要原因是：本年单位</w:t>
      </w:r>
      <w:r>
        <w:rPr>
          <w:rFonts w:hint="eastAsia" w:ascii="仿宋_GB2312" w:eastAsia="仿宋_GB2312"/>
          <w:sz w:val="32"/>
          <w:szCs w:val="32"/>
          <w:lang w:val="en-US" w:eastAsia="zh-CN"/>
        </w:rPr>
        <w:t>长聘人员工资福利费用较上年减少</w:t>
      </w:r>
      <w:r>
        <w:rPr>
          <w:rFonts w:hint="eastAsia" w:ascii="仿宋_GB2312" w:eastAsia="仿宋_GB2312"/>
          <w:sz w:val="32"/>
          <w:szCs w:val="32"/>
        </w:rPr>
        <w:t>。</w:t>
      </w:r>
    </w:p>
    <w:p w14:paraId="25FBDFCF">
      <w:pPr>
        <w:ind w:firstLine="640" w:firstLineChars="200"/>
        <w:jc w:val="left"/>
        <w:rPr>
          <w:rFonts w:ascii="仿宋_GB2312" w:eastAsia="仿宋_GB2312"/>
          <w:sz w:val="32"/>
          <w:szCs w:val="32"/>
        </w:rPr>
      </w:pPr>
      <w:r>
        <w:rPr>
          <w:rFonts w:hint="eastAsia" w:ascii="仿宋_GB2312" w:eastAsia="仿宋_GB2312"/>
          <w:sz w:val="32"/>
          <w:szCs w:val="32"/>
        </w:rPr>
        <w:t>3.住房保障支出（类）住房改革支出（款）住房公积金（项）:支出决算数为61.43万元，比上年决算增加1.85万元，增长3.11%，主要原因是：</w:t>
      </w:r>
      <w:r>
        <w:rPr>
          <w:rFonts w:hint="eastAsia" w:ascii="仿宋_GB2312" w:eastAsia="仿宋_GB2312"/>
          <w:sz w:val="32"/>
          <w:szCs w:val="32"/>
          <w:lang w:val="en-US" w:eastAsia="zh-CN"/>
        </w:rPr>
        <w:t>单位本年在职人员工资调增</w:t>
      </w:r>
      <w:r>
        <w:rPr>
          <w:rFonts w:hint="eastAsia" w:ascii="仿宋_GB2312" w:eastAsia="仿宋_GB2312"/>
          <w:sz w:val="32"/>
          <w:szCs w:val="32"/>
        </w:rPr>
        <w:t>，</w:t>
      </w:r>
      <w:r>
        <w:rPr>
          <w:rFonts w:hint="eastAsia" w:ascii="仿宋_GB2312" w:eastAsia="仿宋_GB2312"/>
          <w:sz w:val="32"/>
          <w:szCs w:val="32"/>
          <w:lang w:val="en-US" w:eastAsia="zh-CN"/>
        </w:rPr>
        <w:t>人员</w:t>
      </w:r>
      <w:r>
        <w:rPr>
          <w:rFonts w:hint="eastAsia" w:ascii="仿宋_GB2312" w:eastAsia="仿宋_GB2312"/>
          <w:sz w:val="32"/>
          <w:szCs w:val="32"/>
        </w:rPr>
        <w:t>公积金</w:t>
      </w:r>
      <w:r>
        <w:rPr>
          <w:rFonts w:hint="eastAsia" w:ascii="仿宋_GB2312" w:eastAsia="仿宋_GB2312"/>
          <w:sz w:val="32"/>
          <w:szCs w:val="32"/>
          <w:lang w:val="en-US" w:eastAsia="zh-CN"/>
        </w:rPr>
        <w:t>缴费</w:t>
      </w:r>
      <w:r>
        <w:rPr>
          <w:rFonts w:hint="eastAsia" w:ascii="仿宋_GB2312" w:eastAsia="仿宋_GB2312"/>
          <w:sz w:val="32"/>
          <w:szCs w:val="32"/>
        </w:rPr>
        <w:t>增加。</w:t>
      </w:r>
    </w:p>
    <w:p w14:paraId="4AC5BCA6">
      <w:pPr>
        <w:ind w:firstLine="640" w:firstLineChars="200"/>
        <w:jc w:val="left"/>
        <w:rPr>
          <w:rFonts w:ascii="仿宋_GB2312" w:eastAsia="仿宋_GB2312"/>
          <w:sz w:val="32"/>
          <w:szCs w:val="32"/>
        </w:rPr>
      </w:pPr>
      <w:r>
        <w:rPr>
          <w:rFonts w:hint="eastAsia" w:ascii="仿宋_GB2312" w:eastAsia="仿宋_GB2312"/>
          <w:sz w:val="32"/>
          <w:szCs w:val="32"/>
        </w:rPr>
        <w:t>4.一般公共服务支出（类）市场监督管理事务（款）食品安全监管（项）:支出决算数为13.81万元，比上年决算增加13.81万元，增长100%，主要原因是：本年单位食品安全工作</w:t>
      </w:r>
      <w:r>
        <w:rPr>
          <w:rFonts w:hint="eastAsia" w:ascii="仿宋_GB2312" w:eastAsia="仿宋_GB2312"/>
          <w:sz w:val="32"/>
          <w:szCs w:val="32"/>
          <w:lang w:val="en-US" w:eastAsia="zh-CN"/>
        </w:rPr>
        <w:t>项目</w:t>
      </w:r>
      <w:r>
        <w:rPr>
          <w:rFonts w:hint="eastAsia" w:ascii="仿宋_GB2312" w:eastAsia="仿宋_GB2312"/>
          <w:sz w:val="32"/>
          <w:szCs w:val="32"/>
        </w:rPr>
        <w:t>经费增加。</w:t>
      </w:r>
    </w:p>
    <w:p w14:paraId="1EE30BD7">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5.社会保障和就业支出（类）抚恤（款）死亡抚恤（项）:支出决算数为108.27万元，比上年决算增加107.12万元，增长9,314.78%，主要原因是：单位本年人员丧葬费、抚恤金补助较上年增加。</w:t>
      </w:r>
    </w:p>
    <w:p w14:paraId="074A014A">
      <w:pPr>
        <w:ind w:firstLine="640" w:firstLineChars="200"/>
        <w:jc w:val="left"/>
        <w:rPr>
          <w:rFonts w:ascii="仿宋_GB2312" w:eastAsia="仿宋_GB2312"/>
          <w:sz w:val="32"/>
          <w:szCs w:val="32"/>
        </w:rPr>
      </w:pPr>
      <w:r>
        <w:rPr>
          <w:rFonts w:hint="eastAsia" w:ascii="仿宋_GB2312" w:eastAsia="仿宋_GB2312"/>
          <w:sz w:val="32"/>
          <w:szCs w:val="32"/>
        </w:rPr>
        <w:t>6.一般公共服务支出（类）市场监督管理事务（款）事业运行（项）:支出决算数为271.04万元，比上年决算增加271.04万元，增长100%，主要原因是：单位</w:t>
      </w:r>
      <w:r>
        <w:rPr>
          <w:rFonts w:hint="eastAsia" w:ascii="仿宋_GB2312" w:eastAsia="仿宋_GB2312"/>
          <w:sz w:val="32"/>
          <w:szCs w:val="32"/>
          <w:lang w:val="en-US" w:eastAsia="zh-CN"/>
        </w:rPr>
        <w:t>本年在职人员工资调增</w:t>
      </w:r>
      <w:r>
        <w:rPr>
          <w:rFonts w:hint="eastAsia" w:ascii="仿宋_GB2312" w:eastAsia="仿宋_GB2312"/>
          <w:sz w:val="32"/>
          <w:szCs w:val="32"/>
        </w:rPr>
        <w:t>，</w:t>
      </w:r>
      <w:r>
        <w:rPr>
          <w:rFonts w:hint="eastAsia" w:ascii="仿宋_GB2312" w:eastAsia="仿宋_GB2312"/>
          <w:sz w:val="32"/>
          <w:szCs w:val="32"/>
          <w:lang w:val="en-US" w:eastAsia="zh-CN"/>
        </w:rPr>
        <w:t>工</w:t>
      </w:r>
      <w:r>
        <w:rPr>
          <w:rFonts w:hint="eastAsia" w:ascii="仿宋_GB2312" w:eastAsia="仿宋_GB2312"/>
          <w:sz w:val="32"/>
          <w:szCs w:val="32"/>
        </w:rPr>
        <w:t>资、津贴补贴、奖金等</w:t>
      </w:r>
      <w:r>
        <w:rPr>
          <w:rFonts w:hint="eastAsia" w:ascii="仿宋_GB2312" w:eastAsia="仿宋_GB2312"/>
          <w:sz w:val="32"/>
          <w:szCs w:val="32"/>
          <w:lang w:val="en-US" w:eastAsia="zh-CN"/>
        </w:rPr>
        <w:t>相关人员经费增加</w:t>
      </w:r>
      <w:r>
        <w:rPr>
          <w:rFonts w:hint="eastAsia" w:ascii="仿宋_GB2312" w:eastAsia="仿宋_GB2312"/>
          <w:sz w:val="32"/>
          <w:szCs w:val="32"/>
        </w:rPr>
        <w:t>。</w:t>
      </w:r>
    </w:p>
    <w:p w14:paraId="3D20209E">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事业单位离退休（项）:支出决算数为0.96万元，比上年决算增加0.96万元，增长100%，主要原因是：本年退休人员增加，退休人员取暖费、交通补助费用增加。</w:t>
      </w:r>
    </w:p>
    <w:p w14:paraId="149011BC">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行政单位离退休（项）:支出决算数为9.75万元，比上年决算增加4.49万元，增长85.36%，主要原因是：本年退休人员增加，退休人员取暖费、交通补助费用增加。</w:t>
      </w:r>
    </w:p>
    <w:p w14:paraId="760525F2">
      <w:pPr>
        <w:ind w:firstLine="640" w:firstLineChars="200"/>
        <w:jc w:val="left"/>
        <w:rPr>
          <w:rFonts w:ascii="仿宋_GB2312" w:eastAsia="仿宋_GB2312"/>
          <w:sz w:val="32"/>
          <w:szCs w:val="32"/>
        </w:rPr>
      </w:pPr>
      <w:r>
        <w:rPr>
          <w:rFonts w:hint="eastAsia" w:ascii="仿宋_GB2312" w:eastAsia="仿宋_GB2312"/>
          <w:sz w:val="32"/>
          <w:szCs w:val="32"/>
        </w:rPr>
        <w:t>9.一般公共服务支出（类）市场监督管理事务（款）质量基础（项）:支出决算数为3.00万元，比上年决算增加3.00万元，增长100%，主要原因是：本年单位新增</w:t>
      </w:r>
      <w:r>
        <w:rPr>
          <w:rFonts w:hint="eastAsia" w:ascii="仿宋_GB2312" w:eastAsia="仿宋_GB2312"/>
          <w:sz w:val="32"/>
          <w:szCs w:val="32"/>
          <w:lang w:eastAsia="zh-CN"/>
        </w:rPr>
        <w:t>地理标志</w:t>
      </w:r>
      <w:r>
        <w:rPr>
          <w:rFonts w:hint="eastAsia" w:ascii="仿宋_GB2312" w:eastAsia="仿宋_GB2312"/>
          <w:sz w:val="32"/>
          <w:szCs w:val="32"/>
        </w:rPr>
        <w:t>鹰嘴豆项目经费。</w:t>
      </w:r>
    </w:p>
    <w:p w14:paraId="3E8DAE26">
      <w:pPr>
        <w:ind w:firstLine="640" w:firstLineChars="200"/>
        <w:jc w:val="left"/>
        <w:rPr>
          <w:rFonts w:ascii="仿宋_GB2312" w:eastAsia="仿宋_GB2312"/>
          <w:sz w:val="32"/>
          <w:szCs w:val="32"/>
        </w:rPr>
      </w:pPr>
      <w:r>
        <w:rPr>
          <w:rFonts w:hint="eastAsia" w:ascii="仿宋_GB2312" w:eastAsia="仿宋_GB2312"/>
          <w:sz w:val="32"/>
          <w:szCs w:val="32"/>
        </w:rPr>
        <w:t>10.社会保障和就业支出（类）行政事业单位养老支出（款）机关事业单位职业年金缴费支出（项）:支出决算数为26.69万元，比上年决算增加26.69万元，增长100%，主要原因是：</w:t>
      </w:r>
      <w:r>
        <w:rPr>
          <w:rFonts w:hint="eastAsia" w:ascii="仿宋_GB2312" w:eastAsia="仿宋_GB2312"/>
          <w:sz w:val="32"/>
          <w:szCs w:val="32"/>
          <w:lang w:val="en-US" w:eastAsia="zh-CN"/>
        </w:rPr>
        <w:t>单位本年退休人员增加，职业年金缴费增加</w:t>
      </w:r>
      <w:r>
        <w:rPr>
          <w:rFonts w:hint="eastAsia" w:ascii="仿宋_GB2312" w:eastAsia="仿宋_GB2312"/>
          <w:sz w:val="32"/>
          <w:szCs w:val="32"/>
        </w:rPr>
        <w:t>。</w:t>
      </w:r>
    </w:p>
    <w:p w14:paraId="5C5EBDBF">
      <w:pPr>
        <w:ind w:firstLine="640" w:firstLineChars="200"/>
        <w:jc w:val="left"/>
        <w:rPr>
          <w:rFonts w:ascii="仿宋_GB2312" w:eastAsia="仿宋_GB2312"/>
          <w:sz w:val="32"/>
          <w:szCs w:val="32"/>
        </w:rPr>
      </w:pPr>
      <w:r>
        <w:rPr>
          <w:rFonts w:hint="eastAsia" w:ascii="仿宋_GB2312" w:eastAsia="仿宋_GB2312"/>
          <w:sz w:val="32"/>
          <w:szCs w:val="32"/>
        </w:rPr>
        <w:t>11.其他支出（类）其他支出（款）其他支出（项）:支出决算数为18.66万元，比上年决算增加2.52万元，增长15.61%，主要原因是：本年单位</w:t>
      </w:r>
      <w:r>
        <w:rPr>
          <w:rFonts w:hint="eastAsia" w:ascii="仿宋_GB2312" w:eastAsia="仿宋_GB2312"/>
          <w:sz w:val="32"/>
          <w:szCs w:val="32"/>
          <w:lang w:val="en-US" w:eastAsia="zh-CN"/>
        </w:rPr>
        <w:t>市场监督日常</w:t>
      </w:r>
      <w:r>
        <w:rPr>
          <w:rFonts w:hint="eastAsia" w:ascii="仿宋_GB2312" w:eastAsia="仿宋_GB2312"/>
          <w:sz w:val="32"/>
          <w:szCs w:val="32"/>
        </w:rPr>
        <w:t>办公</w:t>
      </w:r>
      <w:r>
        <w:rPr>
          <w:rFonts w:hint="eastAsia" w:ascii="仿宋_GB2312" w:eastAsia="仿宋_GB2312"/>
          <w:sz w:val="32"/>
          <w:szCs w:val="32"/>
          <w:lang w:val="en-US" w:eastAsia="zh-CN"/>
        </w:rPr>
        <w:t>活动运行</w:t>
      </w:r>
      <w:r>
        <w:rPr>
          <w:rFonts w:hint="eastAsia" w:ascii="仿宋_GB2312" w:eastAsia="仿宋_GB2312"/>
          <w:sz w:val="32"/>
          <w:szCs w:val="32"/>
        </w:rPr>
        <w:t>经费增加。</w:t>
      </w:r>
    </w:p>
    <w:p w14:paraId="39A22F57">
      <w:pPr>
        <w:ind w:firstLine="640" w:firstLineChars="200"/>
        <w:jc w:val="left"/>
        <w:rPr>
          <w:rFonts w:ascii="仿宋_GB2312" w:eastAsia="仿宋_GB2312"/>
          <w:sz w:val="32"/>
          <w:szCs w:val="32"/>
        </w:rPr>
      </w:pPr>
      <w:r>
        <w:rPr>
          <w:rFonts w:hint="eastAsia" w:ascii="仿宋_GB2312" w:eastAsia="仿宋_GB2312"/>
          <w:sz w:val="32"/>
          <w:szCs w:val="32"/>
        </w:rPr>
        <w:t>12.社会保障和就业支出（类）行政事业单位养老支出（款）机关事业单位基本养老保险缴费支出（项）:支出决算数为78.21万元，比上年决算增加1.22万元，增长1.58%，主要原因是：单位</w:t>
      </w:r>
      <w:r>
        <w:rPr>
          <w:rFonts w:hint="eastAsia" w:ascii="仿宋_GB2312" w:eastAsia="仿宋_GB2312"/>
          <w:sz w:val="32"/>
          <w:szCs w:val="32"/>
          <w:lang w:val="en-US" w:eastAsia="zh-CN"/>
        </w:rPr>
        <w:t>本年在职人员工资调增</w:t>
      </w:r>
      <w:r>
        <w:rPr>
          <w:rFonts w:hint="eastAsia" w:ascii="仿宋_GB2312" w:eastAsia="仿宋_GB2312"/>
          <w:sz w:val="32"/>
          <w:szCs w:val="32"/>
        </w:rPr>
        <w:t>，人员养老保险缴费增加。</w:t>
      </w:r>
    </w:p>
    <w:p w14:paraId="1DFEE61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6CEA147">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1,050.64万元，其中：人员经费958.42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45AACFA0">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公用经费92.22万元，包括：办公费、印刷费、水费、电费、邮电费、取暖费、差旅费、劳务费、委托业务费、工会经费、公务用车运行维护费、其他交通费用、其他商品和服务支出。</w:t>
      </w:r>
    </w:p>
    <w:p w14:paraId="44EBF95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BC8DAF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“三公”经费支出7.17万元，</w:t>
      </w:r>
      <w:r>
        <w:rPr>
          <w:rFonts w:hint="eastAsia" w:ascii="仿宋_GB2312" w:eastAsia="仿宋_GB2312"/>
          <w:sz w:val="32"/>
          <w:szCs w:val="32"/>
        </w:rPr>
        <w:t>比上年</w:t>
      </w:r>
      <w:r>
        <w:rPr>
          <w:rFonts w:hint="eastAsia" w:ascii="仿宋_GB2312" w:eastAsia="仿宋_GB2312"/>
          <w:sz w:val="32"/>
          <w:szCs w:val="32"/>
          <w:lang w:val="zh-CN"/>
        </w:rPr>
        <w:t>减少0.20万元，</w:t>
      </w:r>
      <w:r>
        <w:rPr>
          <w:rFonts w:hint="eastAsia" w:ascii="仿宋_GB2312" w:eastAsia="仿宋_GB2312"/>
          <w:sz w:val="32"/>
          <w:szCs w:val="32"/>
        </w:rPr>
        <w:t>下降2.71%,</w:t>
      </w:r>
      <w:r>
        <w:rPr>
          <w:rFonts w:hint="eastAsia" w:ascii="仿宋_GB2312" w:eastAsia="仿宋_GB2312"/>
          <w:sz w:val="32"/>
          <w:szCs w:val="32"/>
          <w:lang w:val="zh-CN"/>
        </w:rPr>
        <w:t>主要原因是：单位本年接待次数、人数减少，接待费用减少。其中：因公出国（境）费支出0.00万元，占0.00%，比上年增加0.00万元，增长0.00%,主要原因是：单位本年无此项经费；公务用车购置及运行维护费支出7.17万元，占100.00%，比上年增加0.00万元，增长0.00%,主要原因是：与上年对比无差异；公务接待费支出0.00万元，占0.00%，比上年减少0.19万元，下降100.00%,主要原因是：单位本年接待次数、人数减少，接待费用减少。</w:t>
      </w:r>
    </w:p>
    <w:p w14:paraId="538417B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D8E518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27DA4232">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7.17万元，其中：公务用车购置费0.00万元，公务用车运行维护费7.17万元。公务用车运行维护费开支内容包括公务用车燃油费、车辆维修维护费、保险费、过路费等。公务用车购置数0辆，公务用车保有量6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6辆，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7B2A3AB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1E1ACA4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预算数7.17万元，决算数7.17万元，预决算差异率0.00%，主要原因是：严格按照预算执行，预决算对比无差异。其中：因公出国（境）费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预算数7.17万元，决算数7.17万元，预决算差异率0.00%，主要原因是：严格按照预算执行，预决算对比无差异；公务接待费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04CE08BE">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6E606EA5">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3C70BF6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4D9F19D">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28C66B2">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F4C8CC8">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66C1D7DB">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2023年度木垒哈萨克自治县市场监督管理局（行政单位和参照公务员法管理事业单位）机关运行经费支出92.22万元，比上年增加22.30万元，增长31.89%，主要原因是：本年单位办公费、印刷费、水电费、邮电费增加。</w:t>
      </w:r>
    </w:p>
    <w:p w14:paraId="3582C87F">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552851A">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2023年度政府采购支出总额29.49万元，其中：政府采购货物支出12.56万元、政府采购工程支出0.00万元、政府采购服务支出16.93万元。</w:t>
      </w:r>
    </w:p>
    <w:p w14:paraId="79C935E5">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授予中小企业合同金额29.49万元，占政府采购支出总额的100.00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，其中：授予小微企业合同金额20.00万元，占政府采购支出总额的67.82</w:t>
      </w:r>
      <w:r>
        <w:rPr>
          <w:rFonts w:ascii="仿宋_GB2312" w:eastAsia="仿宋_GB2312"/>
          <w:sz w:val="32"/>
          <w:szCs w:val="32"/>
        </w:rPr>
        <w:t>%</w:t>
      </w:r>
      <w:r>
        <w:rPr>
          <w:rFonts w:hint="eastAsia" w:ascii="仿宋_GB2312" w:eastAsia="仿宋_GB2312"/>
          <w:sz w:val="32"/>
          <w:szCs w:val="32"/>
        </w:rPr>
        <w:t>。</w:t>
      </w:r>
    </w:p>
    <w:p w14:paraId="37259158">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3745C040">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616.13万元，房屋1,787.21平方米，价值316.61万元。车辆6辆，价值195.14万元，其中：副部（省）级及以上领导用车0辆、主要负责人用车0辆、机要通信用车0辆、应急保障用车0辆、执法执勤用车0辆、特种专业技术用车4辆、离退休干部服务用车0辆、其他用车2辆，其他用车主要是：单位业务用车；单价100万元（含）以上设备（不含车辆）0台（套）。</w:t>
      </w:r>
    </w:p>
    <w:p w14:paraId="09ED2494">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3D65E56">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1,165.23</w:t>
      </w:r>
      <w:r>
        <w:rPr>
          <w:rFonts w:hint="eastAsia" w:ascii="仿宋_GB2312" w:eastAsia="仿宋_GB2312"/>
          <w:sz w:val="32"/>
          <w:szCs w:val="32"/>
        </w:rPr>
        <w:t>万元，实际执行总额</w:t>
      </w:r>
      <w:r>
        <w:rPr>
          <w:rFonts w:ascii="仿宋_GB2312" w:eastAsia="仿宋_GB2312"/>
          <w:sz w:val="32"/>
          <w:szCs w:val="32"/>
        </w:rPr>
        <w:t>1,086.15</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预算绩效评价项目4个，全年预算数</w:t>
      </w:r>
      <w:r>
        <w:rPr>
          <w:rFonts w:ascii="仿宋_GB2312" w:eastAsia="仿宋_GB2312"/>
          <w:sz w:val="32"/>
          <w:szCs w:val="32"/>
        </w:rPr>
        <w:t>56.84</w:t>
      </w:r>
      <w:r>
        <w:rPr>
          <w:rFonts w:hint="eastAsia" w:ascii="仿宋_GB2312" w:eastAsia="仿宋_GB2312"/>
          <w:sz w:val="32"/>
          <w:szCs w:val="32"/>
        </w:rPr>
        <w:t>万元，全年执行数</w:t>
      </w:r>
      <w:r>
        <w:rPr>
          <w:rFonts w:ascii="仿宋_GB2312" w:eastAsia="仿宋_GB2312"/>
          <w:sz w:val="32"/>
          <w:szCs w:val="32"/>
        </w:rPr>
        <w:t>56.84</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546"/>
        <w:gridCol w:w="1199"/>
        <w:gridCol w:w="1191"/>
        <w:gridCol w:w="1275"/>
        <w:gridCol w:w="1134"/>
        <w:gridCol w:w="868"/>
        <w:gridCol w:w="702"/>
        <w:gridCol w:w="607"/>
      </w:tblGrid>
      <w:tr w14:paraId="0A746A93">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4CFFEF3">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5DE30075">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F294905">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0EE5D32B">
        <w:tblPrEx>
          <w:tblCellMar>
            <w:top w:w="0" w:type="dxa"/>
            <w:left w:w="108" w:type="dxa"/>
            <w:bottom w:w="0" w:type="dxa"/>
            <w:right w:w="108" w:type="dxa"/>
          </w:tblCellMar>
        </w:tblPrEx>
        <w:trPr>
          <w:trHeight w:val="660"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9578D2">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6976" w:type="dxa"/>
            <w:gridSpan w:val="7"/>
            <w:tcBorders>
              <w:top w:val="single" w:color="auto" w:sz="4" w:space="0"/>
              <w:left w:val="nil"/>
              <w:bottom w:val="single" w:color="auto" w:sz="4" w:space="0"/>
              <w:right w:val="single" w:color="auto" w:sz="4" w:space="0"/>
            </w:tcBorders>
            <w:shd w:val="clear" w:color="auto" w:fill="auto"/>
            <w:noWrap/>
            <w:vAlign w:val="center"/>
          </w:tcPr>
          <w:p w14:paraId="4948F4D8">
            <w:pPr>
              <w:widowControl/>
              <w:jc w:val="center"/>
              <w:rPr>
                <w:rFonts w:hint="eastAsia" w:ascii="宋体" w:hAnsi="宋体" w:cs="宋体"/>
                <w:kern w:val="0"/>
                <w:sz w:val="20"/>
                <w:szCs w:val="20"/>
              </w:rPr>
            </w:pPr>
            <w:r>
              <w:rPr>
                <w:rFonts w:hint="eastAsia" w:ascii="宋体" w:hAnsi="宋体" w:cs="宋体"/>
                <w:kern w:val="0"/>
                <w:sz w:val="20"/>
                <w:szCs w:val="20"/>
              </w:rPr>
              <w:t>木垒哈萨克自治县市场监督管理局</w:t>
            </w:r>
          </w:p>
        </w:tc>
      </w:tr>
      <w:tr w14:paraId="28B034C5">
        <w:tblPrEx>
          <w:tblCellMar>
            <w:top w:w="0" w:type="dxa"/>
            <w:left w:w="108" w:type="dxa"/>
            <w:bottom w:w="0" w:type="dxa"/>
            <w:right w:w="108" w:type="dxa"/>
          </w:tblCellMar>
        </w:tblPrEx>
        <w:trPr>
          <w:trHeight w:val="570" w:hRule="atLeast"/>
          <w:jc w:val="center"/>
        </w:trPr>
        <w:tc>
          <w:tcPr>
            <w:tcW w:w="15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E2E427">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199" w:type="dxa"/>
            <w:tcBorders>
              <w:top w:val="nil"/>
              <w:left w:val="nil"/>
              <w:bottom w:val="single" w:color="auto" w:sz="4" w:space="0"/>
              <w:right w:val="single" w:color="auto" w:sz="4" w:space="0"/>
            </w:tcBorders>
            <w:shd w:val="clear" w:color="auto" w:fill="auto"/>
            <w:vAlign w:val="center"/>
          </w:tcPr>
          <w:p w14:paraId="1857633E">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191" w:type="dxa"/>
            <w:tcBorders>
              <w:top w:val="nil"/>
              <w:left w:val="nil"/>
              <w:bottom w:val="single" w:color="auto" w:sz="4" w:space="0"/>
              <w:right w:val="single" w:color="auto" w:sz="4" w:space="0"/>
            </w:tcBorders>
            <w:shd w:val="clear" w:color="auto" w:fill="auto"/>
            <w:vAlign w:val="center"/>
          </w:tcPr>
          <w:p w14:paraId="6B870867">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275" w:type="dxa"/>
            <w:tcBorders>
              <w:top w:val="nil"/>
              <w:left w:val="nil"/>
              <w:bottom w:val="single" w:color="auto" w:sz="4" w:space="0"/>
              <w:right w:val="single" w:color="auto" w:sz="4" w:space="0"/>
            </w:tcBorders>
            <w:shd w:val="clear" w:color="auto" w:fill="auto"/>
            <w:vAlign w:val="center"/>
          </w:tcPr>
          <w:p w14:paraId="365A512D">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134" w:type="dxa"/>
            <w:tcBorders>
              <w:top w:val="nil"/>
              <w:left w:val="nil"/>
              <w:bottom w:val="single" w:color="auto" w:sz="4" w:space="0"/>
              <w:right w:val="single" w:color="auto" w:sz="4" w:space="0"/>
            </w:tcBorders>
            <w:shd w:val="clear" w:color="auto" w:fill="auto"/>
            <w:vAlign w:val="center"/>
          </w:tcPr>
          <w:p w14:paraId="41E90BA1">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868" w:type="dxa"/>
            <w:tcBorders>
              <w:top w:val="nil"/>
              <w:left w:val="nil"/>
              <w:bottom w:val="single" w:color="auto" w:sz="4" w:space="0"/>
              <w:right w:val="single" w:color="auto" w:sz="4" w:space="0"/>
            </w:tcBorders>
            <w:shd w:val="clear" w:color="auto" w:fill="auto"/>
            <w:vAlign w:val="center"/>
          </w:tcPr>
          <w:p w14:paraId="247008FD">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02" w:type="dxa"/>
            <w:tcBorders>
              <w:top w:val="nil"/>
              <w:left w:val="nil"/>
              <w:bottom w:val="single" w:color="auto" w:sz="4" w:space="0"/>
              <w:right w:val="single" w:color="auto" w:sz="4" w:space="0"/>
            </w:tcBorders>
            <w:shd w:val="clear" w:color="auto" w:fill="auto"/>
            <w:vAlign w:val="center"/>
          </w:tcPr>
          <w:p w14:paraId="7915A228">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07" w:type="dxa"/>
            <w:tcBorders>
              <w:top w:val="nil"/>
              <w:left w:val="nil"/>
              <w:bottom w:val="single" w:color="auto" w:sz="4" w:space="0"/>
              <w:right w:val="single" w:color="auto" w:sz="4" w:space="0"/>
            </w:tcBorders>
            <w:shd w:val="clear" w:color="auto" w:fill="auto"/>
            <w:vAlign w:val="center"/>
          </w:tcPr>
          <w:p w14:paraId="4DFAC6FA">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050ED672">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0AE53C24">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noWrap/>
            <w:vAlign w:val="center"/>
          </w:tcPr>
          <w:p w14:paraId="1740EB00">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191" w:type="dxa"/>
            <w:tcBorders>
              <w:top w:val="nil"/>
              <w:left w:val="nil"/>
              <w:bottom w:val="single" w:color="auto" w:sz="4" w:space="0"/>
              <w:right w:val="single" w:color="auto" w:sz="4" w:space="0"/>
            </w:tcBorders>
            <w:shd w:val="clear" w:color="auto" w:fill="auto"/>
            <w:vAlign w:val="center"/>
          </w:tcPr>
          <w:p w14:paraId="3084222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581E68F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4" w:type="dxa"/>
            <w:tcBorders>
              <w:top w:val="nil"/>
              <w:left w:val="nil"/>
              <w:bottom w:val="single" w:color="auto" w:sz="4" w:space="0"/>
              <w:right w:val="single" w:color="auto" w:sz="4" w:space="0"/>
            </w:tcBorders>
            <w:shd w:val="clear" w:color="auto" w:fill="auto"/>
            <w:vAlign w:val="center"/>
          </w:tcPr>
          <w:p w14:paraId="21AD93D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68" w:type="dxa"/>
            <w:tcBorders>
              <w:top w:val="nil"/>
              <w:left w:val="nil"/>
              <w:bottom w:val="single" w:color="auto" w:sz="4" w:space="0"/>
              <w:right w:val="single" w:color="auto" w:sz="4" w:space="0"/>
            </w:tcBorders>
            <w:shd w:val="clear" w:color="auto" w:fill="auto"/>
            <w:vAlign w:val="center"/>
          </w:tcPr>
          <w:p w14:paraId="1B0C625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2" w:type="dxa"/>
            <w:tcBorders>
              <w:top w:val="nil"/>
              <w:left w:val="nil"/>
              <w:bottom w:val="single" w:color="auto" w:sz="4" w:space="0"/>
              <w:right w:val="single" w:color="auto" w:sz="4" w:space="0"/>
            </w:tcBorders>
            <w:shd w:val="clear" w:color="auto" w:fill="auto"/>
            <w:vAlign w:val="center"/>
          </w:tcPr>
          <w:p w14:paraId="45264E6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07" w:type="dxa"/>
            <w:tcBorders>
              <w:top w:val="nil"/>
              <w:left w:val="nil"/>
              <w:bottom w:val="single" w:color="auto" w:sz="4" w:space="0"/>
              <w:right w:val="single" w:color="auto" w:sz="4" w:space="0"/>
            </w:tcBorders>
            <w:shd w:val="clear" w:color="auto" w:fill="auto"/>
            <w:vAlign w:val="center"/>
          </w:tcPr>
          <w:p w14:paraId="699B4765">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5E8B799">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25458458">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76F2EEE5">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191" w:type="dxa"/>
            <w:tcBorders>
              <w:top w:val="nil"/>
              <w:left w:val="nil"/>
              <w:bottom w:val="single" w:color="auto" w:sz="4" w:space="0"/>
              <w:right w:val="single" w:color="auto" w:sz="4" w:space="0"/>
            </w:tcBorders>
            <w:shd w:val="clear" w:color="auto" w:fill="auto"/>
            <w:vAlign w:val="center"/>
          </w:tcPr>
          <w:p w14:paraId="60C3B99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4FB4573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4" w:type="dxa"/>
            <w:tcBorders>
              <w:top w:val="nil"/>
              <w:left w:val="nil"/>
              <w:bottom w:val="single" w:color="auto" w:sz="4" w:space="0"/>
              <w:right w:val="single" w:color="auto" w:sz="4" w:space="0"/>
            </w:tcBorders>
            <w:shd w:val="clear" w:color="auto" w:fill="auto"/>
            <w:vAlign w:val="center"/>
          </w:tcPr>
          <w:p w14:paraId="5483702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68" w:type="dxa"/>
            <w:tcBorders>
              <w:top w:val="nil"/>
              <w:left w:val="nil"/>
              <w:bottom w:val="single" w:color="auto" w:sz="4" w:space="0"/>
              <w:right w:val="single" w:color="auto" w:sz="4" w:space="0"/>
            </w:tcBorders>
            <w:shd w:val="clear" w:color="auto" w:fill="auto"/>
            <w:vAlign w:val="center"/>
          </w:tcPr>
          <w:p w14:paraId="5172CD2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2" w:type="dxa"/>
            <w:tcBorders>
              <w:top w:val="nil"/>
              <w:left w:val="nil"/>
              <w:bottom w:val="single" w:color="auto" w:sz="4" w:space="0"/>
              <w:right w:val="single" w:color="auto" w:sz="4" w:space="0"/>
            </w:tcBorders>
            <w:shd w:val="clear" w:color="auto" w:fill="auto"/>
            <w:vAlign w:val="center"/>
          </w:tcPr>
          <w:p w14:paraId="3C353F7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07" w:type="dxa"/>
            <w:tcBorders>
              <w:top w:val="nil"/>
              <w:left w:val="nil"/>
              <w:bottom w:val="single" w:color="auto" w:sz="4" w:space="0"/>
              <w:right w:val="single" w:color="auto" w:sz="4" w:space="0"/>
            </w:tcBorders>
            <w:shd w:val="clear" w:color="auto" w:fill="auto"/>
            <w:vAlign w:val="center"/>
          </w:tcPr>
          <w:p w14:paraId="61D07A1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1A35889">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1BD829FF">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4ECFE511">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191" w:type="dxa"/>
            <w:tcBorders>
              <w:top w:val="nil"/>
              <w:left w:val="nil"/>
              <w:bottom w:val="single" w:color="auto" w:sz="4" w:space="0"/>
              <w:right w:val="single" w:color="auto" w:sz="4" w:space="0"/>
            </w:tcBorders>
            <w:shd w:val="clear" w:color="auto" w:fill="auto"/>
            <w:vAlign w:val="center"/>
          </w:tcPr>
          <w:p w14:paraId="1893975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7120C59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4" w:type="dxa"/>
            <w:tcBorders>
              <w:top w:val="nil"/>
              <w:left w:val="nil"/>
              <w:bottom w:val="single" w:color="auto" w:sz="4" w:space="0"/>
              <w:right w:val="single" w:color="auto" w:sz="4" w:space="0"/>
            </w:tcBorders>
            <w:shd w:val="clear" w:color="auto" w:fill="auto"/>
            <w:vAlign w:val="center"/>
          </w:tcPr>
          <w:p w14:paraId="1149BA9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68" w:type="dxa"/>
            <w:tcBorders>
              <w:top w:val="nil"/>
              <w:left w:val="nil"/>
              <w:bottom w:val="single" w:color="auto" w:sz="4" w:space="0"/>
              <w:right w:val="single" w:color="auto" w:sz="4" w:space="0"/>
            </w:tcBorders>
            <w:shd w:val="clear" w:color="auto" w:fill="auto"/>
            <w:vAlign w:val="center"/>
          </w:tcPr>
          <w:p w14:paraId="54878F9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2" w:type="dxa"/>
            <w:tcBorders>
              <w:top w:val="nil"/>
              <w:left w:val="nil"/>
              <w:bottom w:val="single" w:color="auto" w:sz="4" w:space="0"/>
              <w:right w:val="single" w:color="auto" w:sz="4" w:space="0"/>
            </w:tcBorders>
            <w:shd w:val="clear" w:color="auto" w:fill="auto"/>
            <w:vAlign w:val="center"/>
          </w:tcPr>
          <w:p w14:paraId="6F9B724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07" w:type="dxa"/>
            <w:tcBorders>
              <w:top w:val="nil"/>
              <w:left w:val="nil"/>
              <w:bottom w:val="single" w:color="auto" w:sz="4" w:space="0"/>
              <w:right w:val="single" w:color="auto" w:sz="4" w:space="0"/>
            </w:tcBorders>
            <w:shd w:val="clear" w:color="auto" w:fill="auto"/>
            <w:vAlign w:val="center"/>
          </w:tcPr>
          <w:p w14:paraId="397D293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8109B92">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428837AB">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7ECC61ED">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191" w:type="dxa"/>
            <w:tcBorders>
              <w:top w:val="nil"/>
              <w:left w:val="nil"/>
              <w:bottom w:val="single" w:color="auto" w:sz="4" w:space="0"/>
              <w:right w:val="single" w:color="auto" w:sz="4" w:space="0"/>
            </w:tcBorders>
            <w:shd w:val="clear" w:color="auto" w:fill="auto"/>
            <w:vAlign w:val="center"/>
          </w:tcPr>
          <w:p w14:paraId="01D5B3E4">
            <w:pPr>
              <w:widowControl/>
              <w:jc w:val="center"/>
              <w:rPr>
                <w:rFonts w:hint="eastAsia" w:ascii="宋体" w:hAnsi="宋体" w:cs="宋体"/>
                <w:kern w:val="0"/>
                <w:sz w:val="20"/>
                <w:szCs w:val="20"/>
              </w:rPr>
            </w:pPr>
            <w:r>
              <w:rPr>
                <w:rFonts w:hint="eastAsia" w:ascii="宋体" w:hAnsi="宋体" w:cs="宋体"/>
                <w:kern w:val="0"/>
                <w:sz w:val="20"/>
                <w:szCs w:val="20"/>
              </w:rPr>
              <w:t>1,012.33</w:t>
            </w:r>
          </w:p>
        </w:tc>
        <w:tc>
          <w:tcPr>
            <w:tcW w:w="1275" w:type="dxa"/>
            <w:tcBorders>
              <w:top w:val="nil"/>
              <w:left w:val="nil"/>
              <w:bottom w:val="single" w:color="auto" w:sz="4" w:space="0"/>
              <w:right w:val="single" w:color="auto" w:sz="4" w:space="0"/>
            </w:tcBorders>
            <w:shd w:val="clear" w:color="auto" w:fill="auto"/>
            <w:vAlign w:val="center"/>
          </w:tcPr>
          <w:p w14:paraId="7E62EFCA">
            <w:pPr>
              <w:widowControl/>
              <w:jc w:val="center"/>
              <w:rPr>
                <w:rFonts w:hint="eastAsia" w:ascii="宋体" w:hAnsi="宋体" w:cs="宋体"/>
                <w:kern w:val="0"/>
                <w:sz w:val="20"/>
                <w:szCs w:val="20"/>
              </w:rPr>
            </w:pPr>
            <w:r>
              <w:rPr>
                <w:rFonts w:hint="eastAsia" w:ascii="宋体" w:hAnsi="宋体" w:cs="宋体"/>
                <w:kern w:val="0"/>
                <w:sz w:val="20"/>
                <w:szCs w:val="20"/>
              </w:rPr>
              <w:t>1,165.23</w:t>
            </w:r>
          </w:p>
        </w:tc>
        <w:tc>
          <w:tcPr>
            <w:tcW w:w="1134" w:type="dxa"/>
            <w:tcBorders>
              <w:top w:val="nil"/>
              <w:left w:val="nil"/>
              <w:bottom w:val="single" w:color="auto" w:sz="4" w:space="0"/>
              <w:right w:val="single" w:color="auto" w:sz="4" w:space="0"/>
            </w:tcBorders>
            <w:shd w:val="clear" w:color="auto" w:fill="auto"/>
            <w:vAlign w:val="center"/>
          </w:tcPr>
          <w:p w14:paraId="349620E8">
            <w:pPr>
              <w:widowControl/>
              <w:jc w:val="center"/>
              <w:rPr>
                <w:rFonts w:hint="eastAsia" w:ascii="宋体" w:hAnsi="宋体" w:cs="宋体"/>
                <w:kern w:val="0"/>
                <w:sz w:val="20"/>
                <w:szCs w:val="20"/>
              </w:rPr>
            </w:pPr>
            <w:r>
              <w:rPr>
                <w:rFonts w:hint="eastAsia" w:ascii="宋体" w:hAnsi="宋体" w:cs="宋体"/>
                <w:kern w:val="0"/>
                <w:sz w:val="20"/>
                <w:szCs w:val="20"/>
              </w:rPr>
              <w:t>1,086.15</w:t>
            </w:r>
          </w:p>
        </w:tc>
        <w:tc>
          <w:tcPr>
            <w:tcW w:w="868" w:type="dxa"/>
            <w:tcBorders>
              <w:top w:val="nil"/>
              <w:left w:val="nil"/>
              <w:bottom w:val="single" w:color="auto" w:sz="4" w:space="0"/>
              <w:right w:val="single" w:color="auto" w:sz="4" w:space="0"/>
            </w:tcBorders>
            <w:shd w:val="clear" w:color="auto" w:fill="auto"/>
            <w:vAlign w:val="center"/>
          </w:tcPr>
          <w:p w14:paraId="7E792CE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2" w:type="dxa"/>
            <w:tcBorders>
              <w:top w:val="nil"/>
              <w:left w:val="nil"/>
              <w:bottom w:val="single" w:color="auto" w:sz="4" w:space="0"/>
              <w:right w:val="single" w:color="auto" w:sz="4" w:space="0"/>
            </w:tcBorders>
            <w:shd w:val="clear" w:color="auto" w:fill="auto"/>
            <w:vAlign w:val="center"/>
          </w:tcPr>
          <w:p w14:paraId="09BBDAA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07" w:type="dxa"/>
            <w:tcBorders>
              <w:top w:val="nil"/>
              <w:left w:val="nil"/>
              <w:bottom w:val="single" w:color="auto" w:sz="4" w:space="0"/>
              <w:right w:val="single" w:color="auto" w:sz="4" w:space="0"/>
            </w:tcBorders>
            <w:shd w:val="clear" w:color="auto" w:fill="auto"/>
            <w:vAlign w:val="center"/>
          </w:tcPr>
          <w:p w14:paraId="06C1135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701CFF3">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702D0023">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096B1F3A">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191" w:type="dxa"/>
            <w:tcBorders>
              <w:top w:val="nil"/>
              <w:left w:val="nil"/>
              <w:bottom w:val="single" w:color="auto" w:sz="4" w:space="0"/>
              <w:right w:val="single" w:color="auto" w:sz="4" w:space="0"/>
            </w:tcBorders>
            <w:shd w:val="clear" w:color="auto" w:fill="auto"/>
            <w:vAlign w:val="center"/>
          </w:tcPr>
          <w:p w14:paraId="6D99A5B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14:paraId="3A787AA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34" w:type="dxa"/>
            <w:tcBorders>
              <w:top w:val="nil"/>
              <w:left w:val="nil"/>
              <w:bottom w:val="single" w:color="auto" w:sz="4" w:space="0"/>
              <w:right w:val="single" w:color="auto" w:sz="4" w:space="0"/>
            </w:tcBorders>
            <w:shd w:val="clear" w:color="auto" w:fill="auto"/>
            <w:vAlign w:val="center"/>
          </w:tcPr>
          <w:p w14:paraId="3B05889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68" w:type="dxa"/>
            <w:tcBorders>
              <w:top w:val="nil"/>
              <w:left w:val="nil"/>
              <w:bottom w:val="single" w:color="auto" w:sz="4" w:space="0"/>
              <w:right w:val="single" w:color="auto" w:sz="4" w:space="0"/>
            </w:tcBorders>
            <w:shd w:val="clear" w:color="auto" w:fill="auto"/>
            <w:vAlign w:val="center"/>
          </w:tcPr>
          <w:p w14:paraId="5E551C3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2" w:type="dxa"/>
            <w:tcBorders>
              <w:top w:val="nil"/>
              <w:left w:val="nil"/>
              <w:bottom w:val="single" w:color="auto" w:sz="4" w:space="0"/>
              <w:right w:val="single" w:color="auto" w:sz="4" w:space="0"/>
            </w:tcBorders>
            <w:shd w:val="clear" w:color="auto" w:fill="auto"/>
            <w:vAlign w:val="center"/>
          </w:tcPr>
          <w:p w14:paraId="02280EE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07" w:type="dxa"/>
            <w:tcBorders>
              <w:top w:val="nil"/>
              <w:left w:val="nil"/>
              <w:bottom w:val="single" w:color="auto" w:sz="4" w:space="0"/>
              <w:right w:val="single" w:color="auto" w:sz="4" w:space="0"/>
            </w:tcBorders>
            <w:shd w:val="clear" w:color="auto" w:fill="auto"/>
            <w:vAlign w:val="center"/>
          </w:tcPr>
          <w:p w14:paraId="55D13C4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2476B2A">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7B93868C">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659DB0ED">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191" w:type="dxa"/>
            <w:tcBorders>
              <w:top w:val="nil"/>
              <w:left w:val="nil"/>
              <w:bottom w:val="single" w:color="auto" w:sz="4" w:space="0"/>
              <w:right w:val="single" w:color="auto" w:sz="4" w:space="0"/>
            </w:tcBorders>
            <w:shd w:val="clear" w:color="auto" w:fill="auto"/>
            <w:vAlign w:val="center"/>
          </w:tcPr>
          <w:p w14:paraId="6D996EE7">
            <w:pPr>
              <w:widowControl/>
              <w:jc w:val="center"/>
              <w:rPr>
                <w:rFonts w:hint="eastAsia" w:ascii="宋体" w:hAnsi="宋体" w:cs="宋体"/>
                <w:kern w:val="0"/>
                <w:sz w:val="20"/>
                <w:szCs w:val="20"/>
              </w:rPr>
            </w:pPr>
            <w:r>
              <w:rPr>
                <w:rFonts w:hint="eastAsia" w:ascii="宋体" w:hAnsi="宋体" w:cs="宋体"/>
                <w:kern w:val="0"/>
                <w:sz w:val="20"/>
                <w:szCs w:val="20"/>
              </w:rPr>
              <w:t>1,012.33</w:t>
            </w:r>
          </w:p>
        </w:tc>
        <w:tc>
          <w:tcPr>
            <w:tcW w:w="1275" w:type="dxa"/>
            <w:tcBorders>
              <w:top w:val="nil"/>
              <w:left w:val="nil"/>
              <w:bottom w:val="single" w:color="auto" w:sz="4" w:space="0"/>
              <w:right w:val="single" w:color="auto" w:sz="4" w:space="0"/>
            </w:tcBorders>
            <w:shd w:val="clear" w:color="auto" w:fill="auto"/>
            <w:vAlign w:val="center"/>
          </w:tcPr>
          <w:p w14:paraId="324088F5">
            <w:pPr>
              <w:widowControl/>
              <w:jc w:val="center"/>
              <w:rPr>
                <w:rFonts w:hint="eastAsia" w:ascii="宋体" w:hAnsi="宋体" w:cs="宋体"/>
                <w:kern w:val="0"/>
                <w:sz w:val="20"/>
                <w:szCs w:val="20"/>
              </w:rPr>
            </w:pPr>
            <w:bookmarkStart w:id="30" w:name="_Hlk174876224"/>
            <w:r>
              <w:rPr>
                <w:rFonts w:hint="eastAsia" w:ascii="宋体" w:hAnsi="宋体" w:cs="宋体"/>
                <w:kern w:val="0"/>
                <w:sz w:val="20"/>
                <w:szCs w:val="20"/>
              </w:rPr>
              <w:t>1,165.23</w:t>
            </w:r>
            <w:bookmarkEnd w:id="30"/>
          </w:p>
        </w:tc>
        <w:tc>
          <w:tcPr>
            <w:tcW w:w="1134" w:type="dxa"/>
            <w:tcBorders>
              <w:top w:val="nil"/>
              <w:left w:val="nil"/>
              <w:bottom w:val="single" w:color="auto" w:sz="4" w:space="0"/>
              <w:right w:val="single" w:color="auto" w:sz="4" w:space="0"/>
            </w:tcBorders>
            <w:shd w:val="clear" w:color="auto" w:fill="auto"/>
            <w:vAlign w:val="center"/>
          </w:tcPr>
          <w:p w14:paraId="70D2EE5A">
            <w:pPr>
              <w:widowControl/>
              <w:jc w:val="center"/>
              <w:rPr>
                <w:rFonts w:hint="eastAsia" w:ascii="宋体" w:hAnsi="宋体" w:cs="宋体"/>
                <w:kern w:val="0"/>
                <w:sz w:val="20"/>
                <w:szCs w:val="20"/>
              </w:rPr>
            </w:pPr>
            <w:bookmarkStart w:id="31" w:name="_Hlk174876231"/>
            <w:r>
              <w:rPr>
                <w:rFonts w:hint="eastAsia" w:ascii="宋体" w:hAnsi="宋体" w:cs="宋体"/>
                <w:kern w:val="0"/>
                <w:sz w:val="20"/>
                <w:szCs w:val="20"/>
              </w:rPr>
              <w:t>1,086.15</w:t>
            </w:r>
            <w:bookmarkEnd w:id="31"/>
          </w:p>
        </w:tc>
        <w:tc>
          <w:tcPr>
            <w:tcW w:w="868" w:type="dxa"/>
            <w:tcBorders>
              <w:top w:val="nil"/>
              <w:left w:val="nil"/>
              <w:bottom w:val="single" w:color="auto" w:sz="4" w:space="0"/>
              <w:right w:val="single" w:color="auto" w:sz="4" w:space="0"/>
            </w:tcBorders>
            <w:shd w:val="clear" w:color="auto" w:fill="auto"/>
            <w:vAlign w:val="center"/>
          </w:tcPr>
          <w:p w14:paraId="670EDA3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2" w:type="dxa"/>
            <w:tcBorders>
              <w:top w:val="nil"/>
              <w:left w:val="nil"/>
              <w:bottom w:val="single" w:color="auto" w:sz="4" w:space="0"/>
              <w:right w:val="single" w:color="auto" w:sz="4" w:space="0"/>
            </w:tcBorders>
            <w:shd w:val="clear" w:color="auto" w:fill="auto"/>
            <w:vAlign w:val="center"/>
          </w:tcPr>
          <w:p w14:paraId="3FD77DE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07" w:type="dxa"/>
            <w:tcBorders>
              <w:top w:val="nil"/>
              <w:left w:val="nil"/>
              <w:bottom w:val="single" w:color="auto" w:sz="4" w:space="0"/>
              <w:right w:val="single" w:color="auto" w:sz="4" w:space="0"/>
            </w:tcBorders>
            <w:shd w:val="clear" w:color="auto" w:fill="auto"/>
            <w:vAlign w:val="center"/>
          </w:tcPr>
          <w:p w14:paraId="4906BB2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32358E2">
        <w:tblPrEx>
          <w:tblCellMar>
            <w:top w:w="0" w:type="dxa"/>
            <w:left w:w="108" w:type="dxa"/>
            <w:bottom w:w="0" w:type="dxa"/>
            <w:right w:w="108" w:type="dxa"/>
          </w:tblCellMar>
        </w:tblPrEx>
        <w:trPr>
          <w:trHeight w:val="705" w:hRule="atLeast"/>
          <w:jc w:val="center"/>
        </w:trPr>
        <w:tc>
          <w:tcPr>
            <w:tcW w:w="15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E6FE7B">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665" w:type="dxa"/>
            <w:gridSpan w:val="3"/>
            <w:tcBorders>
              <w:top w:val="single" w:color="auto" w:sz="4" w:space="0"/>
              <w:left w:val="nil"/>
              <w:bottom w:val="single" w:color="auto" w:sz="4" w:space="0"/>
              <w:right w:val="single" w:color="auto" w:sz="4" w:space="0"/>
            </w:tcBorders>
            <w:shd w:val="clear" w:color="auto" w:fill="auto"/>
            <w:noWrap/>
            <w:vAlign w:val="center"/>
          </w:tcPr>
          <w:p w14:paraId="40BD6E74">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311" w:type="dxa"/>
            <w:gridSpan w:val="4"/>
            <w:tcBorders>
              <w:top w:val="single" w:color="auto" w:sz="4" w:space="0"/>
              <w:left w:val="nil"/>
              <w:bottom w:val="single" w:color="auto" w:sz="4" w:space="0"/>
              <w:right w:val="single" w:color="auto" w:sz="4" w:space="0"/>
            </w:tcBorders>
            <w:shd w:val="clear" w:color="auto" w:fill="auto"/>
            <w:noWrap/>
            <w:vAlign w:val="center"/>
          </w:tcPr>
          <w:p w14:paraId="3E4333B4">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0F127119">
        <w:tblPrEx>
          <w:tblCellMar>
            <w:top w:w="0" w:type="dxa"/>
            <w:left w:w="108" w:type="dxa"/>
            <w:bottom w:w="0" w:type="dxa"/>
            <w:right w:w="108" w:type="dxa"/>
          </w:tblCellMar>
        </w:tblPrEx>
        <w:trPr>
          <w:trHeight w:val="2001"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6E159D6E">
            <w:pPr>
              <w:widowControl/>
              <w:jc w:val="left"/>
              <w:rPr>
                <w:rFonts w:hint="eastAsia" w:ascii="宋体" w:hAnsi="宋体" w:cs="宋体"/>
                <w:kern w:val="0"/>
                <w:sz w:val="20"/>
                <w:szCs w:val="20"/>
              </w:rPr>
            </w:pPr>
          </w:p>
        </w:tc>
        <w:tc>
          <w:tcPr>
            <w:tcW w:w="3665" w:type="dxa"/>
            <w:gridSpan w:val="3"/>
            <w:tcBorders>
              <w:top w:val="single" w:color="auto" w:sz="4" w:space="0"/>
              <w:left w:val="nil"/>
              <w:bottom w:val="single" w:color="auto" w:sz="4" w:space="0"/>
              <w:right w:val="single" w:color="auto" w:sz="4" w:space="0"/>
            </w:tcBorders>
            <w:shd w:val="clear" w:color="auto" w:fill="auto"/>
            <w:vAlign w:val="center"/>
          </w:tcPr>
          <w:p w14:paraId="4E45822A">
            <w:pPr>
              <w:widowControl/>
              <w:jc w:val="center"/>
              <w:rPr>
                <w:rFonts w:hint="eastAsia" w:ascii="宋体" w:hAnsi="宋体" w:cs="宋体"/>
                <w:kern w:val="0"/>
                <w:sz w:val="20"/>
                <w:szCs w:val="20"/>
              </w:rPr>
            </w:pPr>
            <w:r>
              <w:rPr>
                <w:rFonts w:hint="eastAsia" w:ascii="宋体" w:hAnsi="宋体" w:cs="宋体"/>
                <w:kern w:val="0"/>
                <w:sz w:val="20"/>
                <w:szCs w:val="20"/>
              </w:rPr>
              <w:t>指导木垒县市场主体的注册登记工作，建立市场主体信息公示和共享机制，依法公示和共享有关信息，加强信用监管，推动市场主体信用体系建设。指导市场监管综合执法队伍整合和建设，推动实行统一的市场监管。组织查处重大违法案件，规范市场监管行政执法行为。</w:t>
            </w:r>
          </w:p>
        </w:tc>
        <w:tc>
          <w:tcPr>
            <w:tcW w:w="3311" w:type="dxa"/>
            <w:gridSpan w:val="4"/>
            <w:tcBorders>
              <w:top w:val="single" w:color="auto" w:sz="4" w:space="0"/>
              <w:left w:val="nil"/>
              <w:bottom w:val="single" w:color="auto" w:sz="4" w:space="0"/>
              <w:right w:val="single" w:color="auto" w:sz="4" w:space="0"/>
            </w:tcBorders>
            <w:shd w:val="clear" w:color="auto" w:fill="auto"/>
            <w:vAlign w:val="center"/>
          </w:tcPr>
          <w:p w14:paraId="5B9F732D">
            <w:pPr>
              <w:widowControl/>
              <w:jc w:val="center"/>
              <w:rPr>
                <w:rFonts w:hint="eastAsia" w:ascii="宋体" w:hAnsi="宋体" w:cs="宋体"/>
                <w:kern w:val="0"/>
                <w:sz w:val="20"/>
                <w:szCs w:val="20"/>
              </w:rPr>
            </w:pPr>
            <w:r>
              <w:rPr>
                <w:rFonts w:hint="eastAsia" w:ascii="宋体" w:hAnsi="宋体" w:cs="宋体"/>
                <w:kern w:val="0"/>
                <w:sz w:val="20"/>
                <w:szCs w:val="20"/>
                <w:lang w:eastAsia="zh-CN"/>
              </w:rPr>
              <w:t>截至本次</w:t>
            </w:r>
            <w:r>
              <w:rPr>
                <w:rFonts w:hint="eastAsia" w:ascii="宋体" w:hAnsi="宋体" w:cs="宋体"/>
                <w:kern w:val="0"/>
                <w:sz w:val="20"/>
                <w:szCs w:val="20"/>
              </w:rPr>
              <w:t>自评节点，我单位已指导了木垒县市场主体的注册登记工作，建立了市场主体信息公示和共享机制，依法公示和共享了有关信息，加强了信用监管，推动了市场主体信用体系建设。指导了市场监管综合执法队伍整合和建设，推动了实行统一的市场监管。</w:t>
            </w:r>
          </w:p>
        </w:tc>
      </w:tr>
      <w:tr w14:paraId="7FF47E01">
        <w:tblPrEx>
          <w:tblCellMar>
            <w:top w:w="0" w:type="dxa"/>
            <w:left w:w="108" w:type="dxa"/>
            <w:bottom w:w="0" w:type="dxa"/>
            <w:right w:w="108" w:type="dxa"/>
          </w:tblCellMar>
        </w:tblPrEx>
        <w:trPr>
          <w:trHeight w:val="579"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vAlign w:val="center"/>
          </w:tcPr>
          <w:p w14:paraId="51898733">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199" w:type="dxa"/>
            <w:tcBorders>
              <w:top w:val="nil"/>
              <w:left w:val="nil"/>
              <w:bottom w:val="single" w:color="auto" w:sz="4" w:space="0"/>
              <w:right w:val="single" w:color="auto" w:sz="4" w:space="0"/>
            </w:tcBorders>
            <w:shd w:val="clear" w:color="auto" w:fill="auto"/>
            <w:vAlign w:val="center"/>
          </w:tcPr>
          <w:p w14:paraId="2414956F">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191" w:type="dxa"/>
            <w:tcBorders>
              <w:top w:val="nil"/>
              <w:left w:val="nil"/>
              <w:bottom w:val="single" w:color="auto" w:sz="4" w:space="0"/>
              <w:right w:val="single" w:color="auto" w:sz="4" w:space="0"/>
            </w:tcBorders>
            <w:shd w:val="clear" w:color="auto" w:fill="auto"/>
            <w:vAlign w:val="center"/>
          </w:tcPr>
          <w:p w14:paraId="44B57800">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275" w:type="dxa"/>
            <w:tcBorders>
              <w:top w:val="nil"/>
              <w:left w:val="nil"/>
              <w:bottom w:val="single" w:color="auto" w:sz="4" w:space="0"/>
              <w:right w:val="single" w:color="auto" w:sz="4" w:space="0"/>
            </w:tcBorders>
            <w:shd w:val="clear" w:color="auto" w:fill="auto"/>
            <w:vAlign w:val="center"/>
          </w:tcPr>
          <w:p w14:paraId="00C96614">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134" w:type="dxa"/>
            <w:tcBorders>
              <w:top w:val="nil"/>
              <w:left w:val="nil"/>
              <w:bottom w:val="single" w:color="auto" w:sz="4" w:space="0"/>
              <w:right w:val="single" w:color="auto" w:sz="4" w:space="0"/>
            </w:tcBorders>
            <w:shd w:val="clear" w:color="auto" w:fill="auto"/>
            <w:vAlign w:val="center"/>
          </w:tcPr>
          <w:p w14:paraId="495DCB15">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868" w:type="dxa"/>
            <w:tcBorders>
              <w:top w:val="nil"/>
              <w:left w:val="nil"/>
              <w:bottom w:val="single" w:color="auto" w:sz="4" w:space="0"/>
              <w:right w:val="single" w:color="auto" w:sz="4" w:space="0"/>
            </w:tcBorders>
            <w:shd w:val="clear" w:color="auto" w:fill="auto"/>
            <w:vAlign w:val="center"/>
          </w:tcPr>
          <w:p w14:paraId="2E44B8DA">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02" w:type="dxa"/>
            <w:tcBorders>
              <w:top w:val="nil"/>
              <w:left w:val="nil"/>
              <w:bottom w:val="single" w:color="auto" w:sz="4" w:space="0"/>
              <w:right w:val="single" w:color="auto" w:sz="4" w:space="0"/>
            </w:tcBorders>
            <w:shd w:val="clear" w:color="auto" w:fill="auto"/>
            <w:vAlign w:val="center"/>
          </w:tcPr>
          <w:p w14:paraId="1D74486E">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07" w:type="dxa"/>
            <w:tcBorders>
              <w:top w:val="nil"/>
              <w:left w:val="nil"/>
              <w:bottom w:val="single" w:color="auto" w:sz="4" w:space="0"/>
              <w:right w:val="single" w:color="auto" w:sz="4" w:space="0"/>
            </w:tcBorders>
            <w:shd w:val="clear" w:color="auto" w:fill="auto"/>
            <w:vAlign w:val="center"/>
          </w:tcPr>
          <w:p w14:paraId="110B7782">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6DB1F353">
        <w:tblPrEx>
          <w:tblCellMar>
            <w:top w:w="0" w:type="dxa"/>
            <w:left w:w="108" w:type="dxa"/>
            <w:bottom w:w="0" w:type="dxa"/>
            <w:right w:w="108" w:type="dxa"/>
          </w:tblCellMar>
        </w:tblPrEx>
        <w:trPr>
          <w:trHeight w:val="741"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vAlign w:val="center"/>
          </w:tcPr>
          <w:p w14:paraId="6192ED03">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199" w:type="dxa"/>
            <w:vMerge w:val="restart"/>
            <w:tcBorders>
              <w:top w:val="nil"/>
              <w:left w:val="single" w:color="auto" w:sz="4" w:space="0"/>
              <w:bottom w:val="single" w:color="auto" w:sz="4" w:space="0"/>
              <w:right w:val="single" w:color="auto" w:sz="4" w:space="0"/>
            </w:tcBorders>
            <w:shd w:val="clear" w:color="auto" w:fill="auto"/>
            <w:vAlign w:val="center"/>
          </w:tcPr>
          <w:p w14:paraId="5C9B87A5">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91" w:type="dxa"/>
            <w:tcBorders>
              <w:top w:val="nil"/>
              <w:left w:val="nil"/>
              <w:bottom w:val="single" w:color="auto" w:sz="4" w:space="0"/>
              <w:right w:val="single" w:color="auto" w:sz="4" w:space="0"/>
            </w:tcBorders>
            <w:shd w:val="clear" w:color="auto" w:fill="auto"/>
            <w:vAlign w:val="center"/>
          </w:tcPr>
          <w:p w14:paraId="55AFB2EF">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275" w:type="dxa"/>
            <w:tcBorders>
              <w:top w:val="nil"/>
              <w:left w:val="nil"/>
              <w:bottom w:val="single" w:color="auto" w:sz="4" w:space="0"/>
              <w:right w:val="single" w:color="auto" w:sz="4" w:space="0"/>
            </w:tcBorders>
            <w:shd w:val="clear" w:color="auto" w:fill="auto"/>
            <w:vAlign w:val="center"/>
          </w:tcPr>
          <w:p w14:paraId="50706D8A">
            <w:pPr>
              <w:widowControl/>
              <w:jc w:val="center"/>
              <w:rPr>
                <w:rFonts w:hint="eastAsia" w:ascii="宋体" w:hAnsi="宋体" w:cs="宋体"/>
                <w:kern w:val="0"/>
                <w:sz w:val="20"/>
                <w:szCs w:val="20"/>
              </w:rPr>
            </w:pPr>
            <w:r>
              <w:rPr>
                <w:rFonts w:hint="eastAsia" w:ascii="宋体" w:hAnsi="宋体" w:cs="宋体"/>
                <w:kern w:val="0"/>
                <w:sz w:val="20"/>
                <w:szCs w:val="20"/>
              </w:rPr>
              <w:t>≥51人</w:t>
            </w:r>
          </w:p>
        </w:tc>
        <w:tc>
          <w:tcPr>
            <w:tcW w:w="1134" w:type="dxa"/>
            <w:tcBorders>
              <w:top w:val="nil"/>
              <w:left w:val="nil"/>
              <w:bottom w:val="single" w:color="auto" w:sz="4" w:space="0"/>
              <w:right w:val="single" w:color="auto" w:sz="4" w:space="0"/>
            </w:tcBorders>
            <w:shd w:val="clear" w:color="auto" w:fill="auto"/>
            <w:vAlign w:val="center"/>
          </w:tcPr>
          <w:p w14:paraId="0427247F">
            <w:pPr>
              <w:widowControl/>
              <w:jc w:val="center"/>
              <w:rPr>
                <w:rFonts w:hint="eastAsia" w:ascii="宋体" w:hAnsi="宋体" w:cs="宋体"/>
                <w:kern w:val="0"/>
                <w:sz w:val="20"/>
                <w:szCs w:val="20"/>
              </w:rPr>
            </w:pPr>
            <w:r>
              <w:rPr>
                <w:rFonts w:hint="eastAsia" w:ascii="宋体" w:hAnsi="宋体" w:cs="宋体"/>
                <w:kern w:val="0"/>
                <w:sz w:val="20"/>
                <w:szCs w:val="20"/>
              </w:rPr>
              <w:t>木垒哈萨克自治县机构改革方案</w:t>
            </w:r>
          </w:p>
        </w:tc>
        <w:tc>
          <w:tcPr>
            <w:tcW w:w="868" w:type="dxa"/>
            <w:tcBorders>
              <w:top w:val="nil"/>
              <w:left w:val="nil"/>
              <w:bottom w:val="single" w:color="auto" w:sz="4" w:space="0"/>
              <w:right w:val="single" w:color="auto" w:sz="4" w:space="0"/>
            </w:tcBorders>
            <w:shd w:val="clear" w:color="auto" w:fill="auto"/>
            <w:vAlign w:val="center"/>
          </w:tcPr>
          <w:p w14:paraId="6CAFDC0C">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702" w:type="dxa"/>
            <w:tcBorders>
              <w:top w:val="nil"/>
              <w:left w:val="nil"/>
              <w:bottom w:val="single" w:color="auto" w:sz="4" w:space="0"/>
              <w:right w:val="single" w:color="auto" w:sz="4" w:space="0"/>
            </w:tcBorders>
            <w:shd w:val="clear" w:color="auto" w:fill="auto"/>
            <w:vAlign w:val="center"/>
          </w:tcPr>
          <w:p w14:paraId="3199B63D">
            <w:pPr>
              <w:widowControl/>
              <w:jc w:val="center"/>
              <w:rPr>
                <w:rFonts w:hint="eastAsia" w:ascii="宋体" w:hAnsi="宋体" w:cs="宋体"/>
                <w:kern w:val="0"/>
                <w:sz w:val="20"/>
                <w:szCs w:val="20"/>
              </w:rPr>
            </w:pPr>
            <w:r>
              <w:rPr>
                <w:rFonts w:hint="eastAsia" w:ascii="宋体" w:hAnsi="宋体" w:cs="宋体"/>
                <w:kern w:val="0"/>
                <w:sz w:val="20"/>
                <w:szCs w:val="20"/>
              </w:rPr>
              <w:t>51人</w:t>
            </w:r>
          </w:p>
        </w:tc>
        <w:tc>
          <w:tcPr>
            <w:tcW w:w="607" w:type="dxa"/>
            <w:tcBorders>
              <w:top w:val="nil"/>
              <w:left w:val="nil"/>
              <w:bottom w:val="single" w:color="auto" w:sz="4" w:space="0"/>
              <w:right w:val="single" w:color="auto" w:sz="4" w:space="0"/>
            </w:tcBorders>
            <w:shd w:val="clear" w:color="auto" w:fill="auto"/>
            <w:vAlign w:val="center"/>
          </w:tcPr>
          <w:p w14:paraId="70F121FE">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6C5D9BA4">
        <w:tblPrEx>
          <w:tblCellMar>
            <w:top w:w="0" w:type="dxa"/>
            <w:left w:w="108" w:type="dxa"/>
            <w:bottom w:w="0" w:type="dxa"/>
            <w:right w:w="108" w:type="dxa"/>
          </w:tblCellMar>
        </w:tblPrEx>
        <w:trPr>
          <w:trHeight w:val="741" w:hRule="atLeast"/>
          <w:jc w:val="center"/>
        </w:trPr>
        <w:tc>
          <w:tcPr>
            <w:tcW w:w="15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FCA76E">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199" w:type="dxa"/>
            <w:vMerge w:val="continue"/>
            <w:tcBorders>
              <w:top w:val="nil"/>
              <w:left w:val="single" w:color="auto" w:sz="4" w:space="0"/>
              <w:bottom w:val="single" w:color="auto" w:sz="4" w:space="0"/>
              <w:right w:val="single" w:color="auto" w:sz="4" w:space="0"/>
            </w:tcBorders>
            <w:vAlign w:val="center"/>
          </w:tcPr>
          <w:p w14:paraId="31AFE082">
            <w:pPr>
              <w:widowControl/>
              <w:jc w:val="left"/>
              <w:rPr>
                <w:rFonts w:hint="eastAsia" w:ascii="宋体" w:hAnsi="宋体" w:cs="宋体"/>
                <w:kern w:val="0"/>
                <w:sz w:val="20"/>
                <w:szCs w:val="20"/>
              </w:rPr>
            </w:pPr>
          </w:p>
        </w:tc>
        <w:tc>
          <w:tcPr>
            <w:tcW w:w="1191" w:type="dxa"/>
            <w:tcBorders>
              <w:top w:val="nil"/>
              <w:left w:val="nil"/>
              <w:bottom w:val="single" w:color="auto" w:sz="4" w:space="0"/>
              <w:right w:val="single" w:color="auto" w:sz="4" w:space="0"/>
            </w:tcBorders>
            <w:shd w:val="clear" w:color="auto" w:fill="auto"/>
            <w:vAlign w:val="center"/>
          </w:tcPr>
          <w:p w14:paraId="4344A1E3">
            <w:pPr>
              <w:widowControl/>
              <w:jc w:val="center"/>
              <w:rPr>
                <w:rFonts w:hint="eastAsia" w:ascii="宋体" w:hAnsi="宋体" w:cs="宋体"/>
                <w:kern w:val="0"/>
                <w:sz w:val="20"/>
                <w:szCs w:val="20"/>
              </w:rPr>
            </w:pPr>
            <w:r>
              <w:rPr>
                <w:rFonts w:hint="eastAsia" w:ascii="宋体" w:hAnsi="宋体" w:cs="宋体"/>
                <w:kern w:val="0"/>
                <w:sz w:val="20"/>
                <w:szCs w:val="20"/>
              </w:rPr>
              <w:t>市场主体登记数量</w:t>
            </w:r>
          </w:p>
        </w:tc>
        <w:tc>
          <w:tcPr>
            <w:tcW w:w="1275" w:type="dxa"/>
            <w:tcBorders>
              <w:top w:val="nil"/>
              <w:left w:val="nil"/>
              <w:bottom w:val="single" w:color="auto" w:sz="4" w:space="0"/>
              <w:right w:val="single" w:color="auto" w:sz="4" w:space="0"/>
            </w:tcBorders>
            <w:shd w:val="clear" w:color="auto" w:fill="auto"/>
            <w:vAlign w:val="center"/>
          </w:tcPr>
          <w:p w14:paraId="3B0356F5">
            <w:pPr>
              <w:widowControl/>
              <w:jc w:val="center"/>
              <w:rPr>
                <w:rFonts w:hint="eastAsia" w:ascii="宋体" w:hAnsi="宋体" w:cs="宋体"/>
                <w:kern w:val="0"/>
                <w:sz w:val="20"/>
                <w:szCs w:val="20"/>
              </w:rPr>
            </w:pPr>
            <w:r>
              <w:rPr>
                <w:rFonts w:hint="eastAsia" w:ascii="宋体" w:hAnsi="宋体" w:cs="宋体"/>
                <w:kern w:val="0"/>
                <w:sz w:val="20"/>
                <w:szCs w:val="20"/>
              </w:rPr>
              <w:t>≥200家</w:t>
            </w:r>
          </w:p>
        </w:tc>
        <w:tc>
          <w:tcPr>
            <w:tcW w:w="1134" w:type="dxa"/>
            <w:tcBorders>
              <w:top w:val="nil"/>
              <w:left w:val="nil"/>
              <w:bottom w:val="single" w:color="auto" w:sz="4" w:space="0"/>
              <w:right w:val="single" w:color="auto" w:sz="4" w:space="0"/>
            </w:tcBorders>
            <w:shd w:val="clear" w:color="auto" w:fill="auto"/>
            <w:vAlign w:val="center"/>
          </w:tcPr>
          <w:p w14:paraId="0A2BD883">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868" w:type="dxa"/>
            <w:tcBorders>
              <w:top w:val="nil"/>
              <w:left w:val="nil"/>
              <w:bottom w:val="single" w:color="auto" w:sz="4" w:space="0"/>
              <w:right w:val="single" w:color="auto" w:sz="4" w:space="0"/>
            </w:tcBorders>
            <w:shd w:val="clear" w:color="auto" w:fill="auto"/>
            <w:vAlign w:val="center"/>
          </w:tcPr>
          <w:p w14:paraId="4F1DD575">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702" w:type="dxa"/>
            <w:tcBorders>
              <w:top w:val="nil"/>
              <w:left w:val="nil"/>
              <w:bottom w:val="single" w:color="auto" w:sz="4" w:space="0"/>
              <w:right w:val="single" w:color="auto" w:sz="4" w:space="0"/>
            </w:tcBorders>
            <w:shd w:val="clear" w:color="auto" w:fill="auto"/>
            <w:vAlign w:val="center"/>
          </w:tcPr>
          <w:p w14:paraId="4692C85D">
            <w:pPr>
              <w:widowControl/>
              <w:jc w:val="center"/>
              <w:rPr>
                <w:rFonts w:hint="eastAsia" w:ascii="宋体" w:hAnsi="宋体" w:cs="宋体"/>
                <w:kern w:val="0"/>
                <w:sz w:val="20"/>
                <w:szCs w:val="20"/>
              </w:rPr>
            </w:pPr>
            <w:r>
              <w:rPr>
                <w:rFonts w:hint="eastAsia" w:ascii="宋体" w:hAnsi="宋体" w:cs="宋体"/>
                <w:kern w:val="0"/>
                <w:sz w:val="20"/>
                <w:szCs w:val="20"/>
              </w:rPr>
              <w:t>200家</w:t>
            </w:r>
          </w:p>
        </w:tc>
        <w:tc>
          <w:tcPr>
            <w:tcW w:w="607" w:type="dxa"/>
            <w:tcBorders>
              <w:top w:val="nil"/>
              <w:left w:val="nil"/>
              <w:bottom w:val="single" w:color="auto" w:sz="4" w:space="0"/>
              <w:right w:val="single" w:color="auto" w:sz="4" w:space="0"/>
            </w:tcBorders>
            <w:shd w:val="clear" w:color="auto" w:fill="auto"/>
            <w:vAlign w:val="center"/>
          </w:tcPr>
          <w:p w14:paraId="081D6FFB">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6737CC53">
        <w:tblPrEx>
          <w:tblCellMar>
            <w:top w:w="0" w:type="dxa"/>
            <w:left w:w="108" w:type="dxa"/>
            <w:bottom w:w="0" w:type="dxa"/>
            <w:right w:w="108" w:type="dxa"/>
          </w:tblCellMar>
        </w:tblPrEx>
        <w:trPr>
          <w:trHeight w:val="741"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5E28C9E7">
            <w:pPr>
              <w:widowControl/>
              <w:jc w:val="left"/>
              <w:rPr>
                <w:rFonts w:hint="eastAsia" w:ascii="宋体" w:hAnsi="宋体" w:cs="宋体"/>
                <w:kern w:val="0"/>
                <w:sz w:val="20"/>
                <w:szCs w:val="20"/>
              </w:rPr>
            </w:pPr>
          </w:p>
        </w:tc>
        <w:tc>
          <w:tcPr>
            <w:tcW w:w="1199" w:type="dxa"/>
            <w:vMerge w:val="continue"/>
            <w:tcBorders>
              <w:top w:val="nil"/>
              <w:left w:val="single" w:color="auto" w:sz="4" w:space="0"/>
              <w:bottom w:val="single" w:color="auto" w:sz="4" w:space="0"/>
              <w:right w:val="single" w:color="auto" w:sz="4" w:space="0"/>
            </w:tcBorders>
            <w:vAlign w:val="center"/>
          </w:tcPr>
          <w:p w14:paraId="5DD68F56">
            <w:pPr>
              <w:widowControl/>
              <w:jc w:val="left"/>
              <w:rPr>
                <w:rFonts w:hint="eastAsia" w:ascii="宋体" w:hAnsi="宋体" w:cs="宋体"/>
                <w:kern w:val="0"/>
                <w:sz w:val="20"/>
                <w:szCs w:val="20"/>
              </w:rPr>
            </w:pPr>
          </w:p>
        </w:tc>
        <w:tc>
          <w:tcPr>
            <w:tcW w:w="1191" w:type="dxa"/>
            <w:tcBorders>
              <w:top w:val="nil"/>
              <w:left w:val="nil"/>
              <w:bottom w:val="single" w:color="auto" w:sz="4" w:space="0"/>
              <w:right w:val="single" w:color="auto" w:sz="4" w:space="0"/>
            </w:tcBorders>
            <w:shd w:val="clear" w:color="auto" w:fill="auto"/>
            <w:vAlign w:val="center"/>
          </w:tcPr>
          <w:p w14:paraId="0B45D014">
            <w:pPr>
              <w:widowControl/>
              <w:jc w:val="center"/>
              <w:rPr>
                <w:rFonts w:hint="eastAsia" w:ascii="宋体" w:hAnsi="宋体" w:cs="宋体"/>
                <w:kern w:val="0"/>
                <w:sz w:val="20"/>
                <w:szCs w:val="20"/>
              </w:rPr>
            </w:pPr>
            <w:r>
              <w:rPr>
                <w:rFonts w:hint="eastAsia" w:ascii="宋体" w:hAnsi="宋体" w:cs="宋体"/>
                <w:kern w:val="0"/>
                <w:sz w:val="20"/>
                <w:szCs w:val="20"/>
              </w:rPr>
              <w:t>药品、医疗器械、化妆品日常监管检查次数</w:t>
            </w:r>
          </w:p>
        </w:tc>
        <w:tc>
          <w:tcPr>
            <w:tcW w:w="1275" w:type="dxa"/>
            <w:tcBorders>
              <w:top w:val="nil"/>
              <w:left w:val="nil"/>
              <w:bottom w:val="single" w:color="auto" w:sz="4" w:space="0"/>
              <w:right w:val="single" w:color="auto" w:sz="4" w:space="0"/>
            </w:tcBorders>
            <w:shd w:val="clear" w:color="auto" w:fill="auto"/>
            <w:vAlign w:val="center"/>
          </w:tcPr>
          <w:p w14:paraId="104C5015">
            <w:pPr>
              <w:widowControl/>
              <w:jc w:val="center"/>
              <w:rPr>
                <w:rFonts w:hint="eastAsia" w:ascii="宋体" w:hAnsi="宋体" w:cs="宋体"/>
                <w:kern w:val="0"/>
                <w:sz w:val="20"/>
                <w:szCs w:val="20"/>
              </w:rPr>
            </w:pPr>
            <w:r>
              <w:rPr>
                <w:rFonts w:hint="eastAsia" w:ascii="宋体" w:hAnsi="宋体" w:cs="宋体"/>
                <w:kern w:val="0"/>
                <w:sz w:val="20"/>
                <w:szCs w:val="20"/>
              </w:rPr>
              <w:t>≥36家次</w:t>
            </w:r>
          </w:p>
        </w:tc>
        <w:tc>
          <w:tcPr>
            <w:tcW w:w="1134" w:type="dxa"/>
            <w:tcBorders>
              <w:top w:val="nil"/>
              <w:left w:val="nil"/>
              <w:bottom w:val="single" w:color="auto" w:sz="4" w:space="0"/>
              <w:right w:val="single" w:color="auto" w:sz="4" w:space="0"/>
            </w:tcBorders>
            <w:shd w:val="clear" w:color="auto" w:fill="auto"/>
            <w:vAlign w:val="center"/>
          </w:tcPr>
          <w:p w14:paraId="5AA8EDAD">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868" w:type="dxa"/>
            <w:tcBorders>
              <w:top w:val="nil"/>
              <w:left w:val="nil"/>
              <w:bottom w:val="single" w:color="auto" w:sz="4" w:space="0"/>
              <w:right w:val="single" w:color="auto" w:sz="4" w:space="0"/>
            </w:tcBorders>
            <w:shd w:val="clear" w:color="auto" w:fill="auto"/>
            <w:vAlign w:val="center"/>
          </w:tcPr>
          <w:p w14:paraId="1DB2DA9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2" w:type="dxa"/>
            <w:tcBorders>
              <w:top w:val="nil"/>
              <w:left w:val="nil"/>
              <w:bottom w:val="single" w:color="auto" w:sz="4" w:space="0"/>
              <w:right w:val="single" w:color="auto" w:sz="4" w:space="0"/>
            </w:tcBorders>
            <w:shd w:val="clear" w:color="auto" w:fill="auto"/>
            <w:vAlign w:val="center"/>
          </w:tcPr>
          <w:p w14:paraId="7178BD67">
            <w:pPr>
              <w:widowControl/>
              <w:jc w:val="center"/>
              <w:rPr>
                <w:rFonts w:hint="eastAsia" w:ascii="宋体" w:hAnsi="宋体" w:cs="宋体"/>
                <w:kern w:val="0"/>
                <w:sz w:val="20"/>
                <w:szCs w:val="20"/>
              </w:rPr>
            </w:pPr>
            <w:r>
              <w:rPr>
                <w:rFonts w:hint="eastAsia" w:ascii="宋体" w:hAnsi="宋体" w:cs="宋体"/>
                <w:kern w:val="0"/>
                <w:sz w:val="20"/>
                <w:szCs w:val="20"/>
              </w:rPr>
              <w:t>36家次</w:t>
            </w:r>
          </w:p>
        </w:tc>
        <w:tc>
          <w:tcPr>
            <w:tcW w:w="607" w:type="dxa"/>
            <w:tcBorders>
              <w:top w:val="nil"/>
              <w:left w:val="nil"/>
              <w:bottom w:val="single" w:color="auto" w:sz="4" w:space="0"/>
              <w:right w:val="single" w:color="auto" w:sz="4" w:space="0"/>
            </w:tcBorders>
            <w:shd w:val="clear" w:color="auto" w:fill="auto"/>
            <w:vAlign w:val="center"/>
          </w:tcPr>
          <w:p w14:paraId="4006FD7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6D9AB32">
        <w:tblPrEx>
          <w:tblCellMar>
            <w:top w:w="0" w:type="dxa"/>
            <w:left w:w="108" w:type="dxa"/>
            <w:bottom w:w="0" w:type="dxa"/>
            <w:right w:w="108" w:type="dxa"/>
          </w:tblCellMar>
        </w:tblPrEx>
        <w:trPr>
          <w:trHeight w:val="741"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62A6682A">
            <w:pPr>
              <w:widowControl/>
              <w:jc w:val="left"/>
              <w:rPr>
                <w:rFonts w:hint="eastAsia" w:ascii="宋体" w:hAnsi="宋体" w:cs="宋体"/>
                <w:kern w:val="0"/>
                <w:sz w:val="20"/>
                <w:szCs w:val="20"/>
              </w:rPr>
            </w:pPr>
          </w:p>
        </w:tc>
        <w:tc>
          <w:tcPr>
            <w:tcW w:w="1199" w:type="dxa"/>
            <w:vMerge w:val="continue"/>
            <w:tcBorders>
              <w:top w:val="nil"/>
              <w:left w:val="single" w:color="auto" w:sz="4" w:space="0"/>
              <w:bottom w:val="single" w:color="auto" w:sz="4" w:space="0"/>
              <w:right w:val="single" w:color="auto" w:sz="4" w:space="0"/>
            </w:tcBorders>
            <w:vAlign w:val="center"/>
          </w:tcPr>
          <w:p w14:paraId="24F6EF32">
            <w:pPr>
              <w:widowControl/>
              <w:jc w:val="left"/>
              <w:rPr>
                <w:rFonts w:hint="eastAsia" w:ascii="宋体" w:hAnsi="宋体" w:cs="宋体"/>
                <w:kern w:val="0"/>
                <w:sz w:val="20"/>
                <w:szCs w:val="20"/>
              </w:rPr>
            </w:pPr>
          </w:p>
        </w:tc>
        <w:tc>
          <w:tcPr>
            <w:tcW w:w="1191" w:type="dxa"/>
            <w:tcBorders>
              <w:top w:val="nil"/>
              <w:left w:val="nil"/>
              <w:bottom w:val="single" w:color="auto" w:sz="4" w:space="0"/>
              <w:right w:val="single" w:color="auto" w:sz="4" w:space="0"/>
            </w:tcBorders>
            <w:shd w:val="clear" w:color="auto" w:fill="auto"/>
            <w:vAlign w:val="center"/>
          </w:tcPr>
          <w:p w14:paraId="30432622">
            <w:pPr>
              <w:widowControl/>
              <w:jc w:val="center"/>
              <w:rPr>
                <w:rFonts w:hint="eastAsia" w:ascii="宋体" w:hAnsi="宋体" w:cs="宋体"/>
                <w:kern w:val="0"/>
                <w:sz w:val="20"/>
                <w:szCs w:val="20"/>
              </w:rPr>
            </w:pPr>
            <w:r>
              <w:rPr>
                <w:rFonts w:hint="eastAsia" w:ascii="宋体" w:hAnsi="宋体" w:cs="宋体"/>
                <w:kern w:val="0"/>
                <w:sz w:val="20"/>
                <w:szCs w:val="20"/>
              </w:rPr>
              <w:t>食用农产品抽检批次</w:t>
            </w:r>
          </w:p>
        </w:tc>
        <w:tc>
          <w:tcPr>
            <w:tcW w:w="1275" w:type="dxa"/>
            <w:tcBorders>
              <w:top w:val="nil"/>
              <w:left w:val="nil"/>
              <w:bottom w:val="single" w:color="auto" w:sz="4" w:space="0"/>
              <w:right w:val="single" w:color="auto" w:sz="4" w:space="0"/>
            </w:tcBorders>
            <w:shd w:val="clear" w:color="auto" w:fill="auto"/>
            <w:vAlign w:val="center"/>
          </w:tcPr>
          <w:p w14:paraId="1B1ABF72">
            <w:pPr>
              <w:widowControl/>
              <w:jc w:val="center"/>
              <w:rPr>
                <w:rFonts w:hint="eastAsia" w:ascii="宋体" w:hAnsi="宋体" w:cs="宋体"/>
                <w:kern w:val="0"/>
                <w:sz w:val="20"/>
                <w:szCs w:val="20"/>
              </w:rPr>
            </w:pPr>
            <w:r>
              <w:rPr>
                <w:rFonts w:hint="eastAsia" w:ascii="宋体" w:hAnsi="宋体" w:cs="宋体"/>
                <w:kern w:val="0"/>
                <w:sz w:val="20"/>
                <w:szCs w:val="20"/>
              </w:rPr>
              <w:t>&gt;=120批次</w:t>
            </w:r>
          </w:p>
        </w:tc>
        <w:tc>
          <w:tcPr>
            <w:tcW w:w="1134" w:type="dxa"/>
            <w:tcBorders>
              <w:top w:val="nil"/>
              <w:left w:val="nil"/>
              <w:bottom w:val="single" w:color="auto" w:sz="4" w:space="0"/>
              <w:right w:val="single" w:color="auto" w:sz="4" w:space="0"/>
            </w:tcBorders>
            <w:shd w:val="clear" w:color="auto" w:fill="auto"/>
            <w:vAlign w:val="center"/>
          </w:tcPr>
          <w:p w14:paraId="6C2F2AC3">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868" w:type="dxa"/>
            <w:tcBorders>
              <w:top w:val="nil"/>
              <w:left w:val="nil"/>
              <w:bottom w:val="single" w:color="auto" w:sz="4" w:space="0"/>
              <w:right w:val="single" w:color="auto" w:sz="4" w:space="0"/>
            </w:tcBorders>
            <w:shd w:val="clear" w:color="auto" w:fill="auto"/>
            <w:vAlign w:val="center"/>
          </w:tcPr>
          <w:p w14:paraId="68887D7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2" w:type="dxa"/>
            <w:tcBorders>
              <w:top w:val="nil"/>
              <w:left w:val="nil"/>
              <w:bottom w:val="single" w:color="auto" w:sz="4" w:space="0"/>
              <w:right w:val="single" w:color="auto" w:sz="4" w:space="0"/>
            </w:tcBorders>
            <w:shd w:val="clear" w:color="auto" w:fill="auto"/>
            <w:vAlign w:val="center"/>
          </w:tcPr>
          <w:p w14:paraId="5741229A">
            <w:pPr>
              <w:widowControl/>
              <w:jc w:val="center"/>
              <w:rPr>
                <w:rFonts w:hint="eastAsia" w:ascii="宋体" w:hAnsi="宋体" w:cs="宋体"/>
                <w:kern w:val="0"/>
                <w:sz w:val="20"/>
                <w:szCs w:val="20"/>
              </w:rPr>
            </w:pPr>
            <w:r>
              <w:rPr>
                <w:rFonts w:hint="eastAsia" w:ascii="宋体" w:hAnsi="宋体" w:cs="宋体"/>
                <w:kern w:val="0"/>
                <w:sz w:val="20"/>
                <w:szCs w:val="20"/>
              </w:rPr>
              <w:t>120批次</w:t>
            </w:r>
          </w:p>
        </w:tc>
        <w:tc>
          <w:tcPr>
            <w:tcW w:w="607" w:type="dxa"/>
            <w:tcBorders>
              <w:top w:val="nil"/>
              <w:left w:val="nil"/>
              <w:bottom w:val="single" w:color="auto" w:sz="4" w:space="0"/>
              <w:right w:val="single" w:color="auto" w:sz="4" w:space="0"/>
            </w:tcBorders>
            <w:shd w:val="clear" w:color="auto" w:fill="auto"/>
            <w:vAlign w:val="center"/>
          </w:tcPr>
          <w:p w14:paraId="78D963E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FD1CE60">
        <w:tblPrEx>
          <w:tblCellMar>
            <w:top w:w="0" w:type="dxa"/>
            <w:left w:w="108" w:type="dxa"/>
            <w:bottom w:w="0" w:type="dxa"/>
            <w:right w:w="108" w:type="dxa"/>
          </w:tblCellMar>
        </w:tblPrEx>
        <w:trPr>
          <w:trHeight w:val="741"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27896BC4">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5DF8066F">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191" w:type="dxa"/>
            <w:tcBorders>
              <w:top w:val="nil"/>
              <w:left w:val="nil"/>
              <w:bottom w:val="single" w:color="auto" w:sz="4" w:space="0"/>
              <w:right w:val="single" w:color="auto" w:sz="4" w:space="0"/>
            </w:tcBorders>
            <w:shd w:val="clear" w:color="auto" w:fill="auto"/>
            <w:vAlign w:val="center"/>
          </w:tcPr>
          <w:p w14:paraId="0F1BAE10">
            <w:pPr>
              <w:widowControl/>
              <w:jc w:val="center"/>
              <w:rPr>
                <w:rFonts w:hint="eastAsia" w:ascii="宋体" w:hAnsi="宋体" w:cs="宋体"/>
                <w:kern w:val="0"/>
                <w:sz w:val="20"/>
                <w:szCs w:val="20"/>
              </w:rPr>
            </w:pPr>
            <w:r>
              <w:rPr>
                <w:rFonts w:hint="eastAsia" w:ascii="宋体" w:hAnsi="宋体" w:cs="宋体"/>
                <w:kern w:val="0"/>
                <w:sz w:val="20"/>
                <w:szCs w:val="20"/>
              </w:rPr>
              <w:t>投诉处理及时率</w:t>
            </w:r>
          </w:p>
        </w:tc>
        <w:tc>
          <w:tcPr>
            <w:tcW w:w="1275" w:type="dxa"/>
            <w:tcBorders>
              <w:top w:val="nil"/>
              <w:left w:val="nil"/>
              <w:bottom w:val="single" w:color="auto" w:sz="4" w:space="0"/>
              <w:right w:val="single" w:color="auto" w:sz="4" w:space="0"/>
            </w:tcBorders>
            <w:shd w:val="clear" w:color="auto" w:fill="auto"/>
            <w:vAlign w:val="center"/>
          </w:tcPr>
          <w:p w14:paraId="33F15835">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1134" w:type="dxa"/>
            <w:tcBorders>
              <w:top w:val="nil"/>
              <w:left w:val="nil"/>
              <w:bottom w:val="single" w:color="auto" w:sz="4" w:space="0"/>
              <w:right w:val="single" w:color="auto" w:sz="4" w:space="0"/>
            </w:tcBorders>
            <w:shd w:val="clear" w:color="auto" w:fill="auto"/>
            <w:vAlign w:val="center"/>
          </w:tcPr>
          <w:p w14:paraId="4CD1AC2A">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868" w:type="dxa"/>
            <w:tcBorders>
              <w:top w:val="nil"/>
              <w:left w:val="nil"/>
              <w:bottom w:val="single" w:color="auto" w:sz="4" w:space="0"/>
              <w:right w:val="single" w:color="auto" w:sz="4" w:space="0"/>
            </w:tcBorders>
            <w:shd w:val="clear" w:color="auto" w:fill="auto"/>
            <w:vAlign w:val="center"/>
          </w:tcPr>
          <w:p w14:paraId="22C6A8F7">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702" w:type="dxa"/>
            <w:tcBorders>
              <w:top w:val="nil"/>
              <w:left w:val="nil"/>
              <w:bottom w:val="single" w:color="auto" w:sz="4" w:space="0"/>
              <w:right w:val="single" w:color="auto" w:sz="4" w:space="0"/>
            </w:tcBorders>
            <w:shd w:val="clear" w:color="auto" w:fill="auto"/>
            <w:vAlign w:val="center"/>
          </w:tcPr>
          <w:p w14:paraId="3A4CE02D">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607" w:type="dxa"/>
            <w:tcBorders>
              <w:top w:val="nil"/>
              <w:left w:val="nil"/>
              <w:bottom w:val="single" w:color="auto" w:sz="4" w:space="0"/>
              <w:right w:val="single" w:color="auto" w:sz="4" w:space="0"/>
            </w:tcBorders>
            <w:shd w:val="clear" w:color="auto" w:fill="auto"/>
            <w:vAlign w:val="center"/>
          </w:tcPr>
          <w:p w14:paraId="3240ED06">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7F91A82E">
        <w:tblPrEx>
          <w:tblCellMar>
            <w:top w:w="0" w:type="dxa"/>
            <w:left w:w="108" w:type="dxa"/>
            <w:bottom w:w="0" w:type="dxa"/>
            <w:right w:w="108" w:type="dxa"/>
          </w:tblCellMar>
        </w:tblPrEx>
        <w:trPr>
          <w:trHeight w:val="741"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2EE738DB">
            <w:pPr>
              <w:widowControl/>
              <w:jc w:val="left"/>
              <w:rPr>
                <w:rFonts w:hint="eastAsia" w:ascii="宋体" w:hAnsi="宋体" w:cs="宋体"/>
                <w:kern w:val="0"/>
                <w:sz w:val="20"/>
                <w:szCs w:val="20"/>
              </w:rPr>
            </w:pPr>
          </w:p>
        </w:tc>
        <w:tc>
          <w:tcPr>
            <w:tcW w:w="1199" w:type="dxa"/>
            <w:vMerge w:val="restart"/>
            <w:tcBorders>
              <w:top w:val="nil"/>
              <w:left w:val="single" w:color="auto" w:sz="4" w:space="0"/>
              <w:bottom w:val="single" w:color="auto" w:sz="4" w:space="0"/>
              <w:right w:val="single" w:color="auto" w:sz="4" w:space="0"/>
            </w:tcBorders>
            <w:shd w:val="clear" w:color="auto" w:fill="auto"/>
            <w:noWrap/>
            <w:vAlign w:val="center"/>
          </w:tcPr>
          <w:p w14:paraId="777CE653">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191" w:type="dxa"/>
            <w:tcBorders>
              <w:top w:val="nil"/>
              <w:left w:val="nil"/>
              <w:bottom w:val="single" w:color="auto" w:sz="4" w:space="0"/>
              <w:right w:val="single" w:color="auto" w:sz="4" w:space="0"/>
            </w:tcBorders>
            <w:shd w:val="clear" w:color="auto" w:fill="auto"/>
            <w:noWrap/>
            <w:vAlign w:val="center"/>
          </w:tcPr>
          <w:p w14:paraId="0D9CE3E9">
            <w:pPr>
              <w:widowControl/>
              <w:jc w:val="left"/>
              <w:rPr>
                <w:rFonts w:hint="eastAsia" w:ascii="宋体" w:hAnsi="宋体" w:cs="宋体"/>
                <w:kern w:val="0"/>
                <w:sz w:val="20"/>
                <w:szCs w:val="20"/>
              </w:rPr>
            </w:pPr>
            <w:r>
              <w:rPr>
                <w:rFonts w:hint="eastAsia" w:ascii="宋体" w:hAnsi="宋体" w:cs="宋体"/>
                <w:kern w:val="0"/>
                <w:sz w:val="20"/>
                <w:szCs w:val="20"/>
              </w:rPr>
              <w:t>完成全县市场主体检查覆盖率</w:t>
            </w:r>
          </w:p>
        </w:tc>
        <w:tc>
          <w:tcPr>
            <w:tcW w:w="1275" w:type="dxa"/>
            <w:tcBorders>
              <w:top w:val="nil"/>
              <w:left w:val="nil"/>
              <w:bottom w:val="single" w:color="auto" w:sz="4" w:space="0"/>
              <w:right w:val="single" w:color="auto" w:sz="4" w:space="0"/>
            </w:tcBorders>
            <w:shd w:val="clear" w:color="auto" w:fill="auto"/>
            <w:noWrap/>
            <w:vAlign w:val="center"/>
          </w:tcPr>
          <w:p w14:paraId="56E00888">
            <w:pPr>
              <w:widowControl/>
              <w:jc w:val="left"/>
              <w:rPr>
                <w:rFonts w:hint="eastAsia" w:ascii="宋体" w:hAnsi="宋体" w:cs="宋体"/>
                <w:kern w:val="0"/>
                <w:sz w:val="20"/>
                <w:szCs w:val="20"/>
              </w:rPr>
            </w:pPr>
            <w:r>
              <w:rPr>
                <w:rFonts w:hint="eastAsia" w:ascii="宋体" w:hAnsi="宋体" w:cs="宋体"/>
                <w:kern w:val="0"/>
                <w:sz w:val="20"/>
                <w:szCs w:val="20"/>
              </w:rPr>
              <w:t>&gt;=90%</w:t>
            </w:r>
          </w:p>
        </w:tc>
        <w:tc>
          <w:tcPr>
            <w:tcW w:w="1134" w:type="dxa"/>
            <w:tcBorders>
              <w:top w:val="nil"/>
              <w:left w:val="nil"/>
              <w:bottom w:val="single" w:color="auto" w:sz="4" w:space="0"/>
              <w:right w:val="single" w:color="auto" w:sz="4" w:space="0"/>
            </w:tcBorders>
            <w:shd w:val="clear" w:color="auto" w:fill="auto"/>
            <w:noWrap/>
            <w:vAlign w:val="center"/>
          </w:tcPr>
          <w:p w14:paraId="6BB42DA8">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868" w:type="dxa"/>
            <w:tcBorders>
              <w:top w:val="nil"/>
              <w:left w:val="nil"/>
              <w:bottom w:val="single" w:color="auto" w:sz="4" w:space="0"/>
              <w:right w:val="single" w:color="auto" w:sz="4" w:space="0"/>
            </w:tcBorders>
            <w:shd w:val="clear" w:color="auto" w:fill="auto"/>
            <w:noWrap/>
            <w:vAlign w:val="center"/>
          </w:tcPr>
          <w:p w14:paraId="7A488794">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702" w:type="dxa"/>
            <w:tcBorders>
              <w:top w:val="nil"/>
              <w:left w:val="nil"/>
              <w:bottom w:val="single" w:color="auto" w:sz="4" w:space="0"/>
              <w:right w:val="single" w:color="auto" w:sz="4" w:space="0"/>
            </w:tcBorders>
            <w:shd w:val="clear" w:color="auto" w:fill="auto"/>
            <w:noWrap/>
            <w:vAlign w:val="center"/>
          </w:tcPr>
          <w:p w14:paraId="4B863B37">
            <w:pPr>
              <w:widowControl/>
              <w:jc w:val="left"/>
              <w:rPr>
                <w:rFonts w:hint="eastAsia" w:ascii="宋体" w:hAnsi="宋体" w:cs="宋体"/>
                <w:kern w:val="0"/>
                <w:sz w:val="20"/>
                <w:szCs w:val="20"/>
              </w:rPr>
            </w:pPr>
            <w:r>
              <w:rPr>
                <w:rFonts w:hint="eastAsia" w:ascii="宋体" w:hAnsi="宋体" w:cs="宋体"/>
                <w:kern w:val="0"/>
                <w:sz w:val="20"/>
                <w:szCs w:val="20"/>
              </w:rPr>
              <w:t>90%</w:t>
            </w:r>
          </w:p>
        </w:tc>
        <w:tc>
          <w:tcPr>
            <w:tcW w:w="607" w:type="dxa"/>
            <w:tcBorders>
              <w:top w:val="nil"/>
              <w:left w:val="nil"/>
              <w:bottom w:val="single" w:color="auto" w:sz="4" w:space="0"/>
              <w:right w:val="single" w:color="auto" w:sz="4" w:space="0"/>
            </w:tcBorders>
            <w:shd w:val="clear" w:color="auto" w:fill="auto"/>
            <w:noWrap/>
            <w:vAlign w:val="center"/>
          </w:tcPr>
          <w:p w14:paraId="779A8FF5">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55AA6E8E">
        <w:tblPrEx>
          <w:tblCellMar>
            <w:top w:w="0" w:type="dxa"/>
            <w:left w:w="108" w:type="dxa"/>
            <w:bottom w:w="0" w:type="dxa"/>
            <w:right w:w="108" w:type="dxa"/>
          </w:tblCellMar>
        </w:tblPrEx>
        <w:trPr>
          <w:trHeight w:val="741"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FA078B">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199" w:type="dxa"/>
            <w:vMerge w:val="continue"/>
            <w:tcBorders>
              <w:top w:val="nil"/>
              <w:left w:val="single" w:color="auto" w:sz="4" w:space="0"/>
              <w:bottom w:val="single" w:color="auto" w:sz="4" w:space="0"/>
              <w:right w:val="single" w:color="auto" w:sz="4" w:space="0"/>
            </w:tcBorders>
            <w:vAlign w:val="center"/>
          </w:tcPr>
          <w:p w14:paraId="0500275B">
            <w:pPr>
              <w:widowControl/>
              <w:jc w:val="left"/>
              <w:rPr>
                <w:rFonts w:hint="eastAsia" w:ascii="宋体" w:hAnsi="宋体" w:cs="宋体"/>
                <w:kern w:val="0"/>
                <w:sz w:val="20"/>
                <w:szCs w:val="20"/>
              </w:rPr>
            </w:pPr>
          </w:p>
        </w:tc>
        <w:tc>
          <w:tcPr>
            <w:tcW w:w="1191" w:type="dxa"/>
            <w:tcBorders>
              <w:top w:val="nil"/>
              <w:left w:val="nil"/>
              <w:bottom w:val="single" w:color="auto" w:sz="4" w:space="0"/>
              <w:right w:val="single" w:color="auto" w:sz="4" w:space="0"/>
            </w:tcBorders>
            <w:shd w:val="clear" w:color="auto" w:fill="auto"/>
            <w:noWrap/>
            <w:vAlign w:val="center"/>
          </w:tcPr>
          <w:p w14:paraId="71F288F3">
            <w:pPr>
              <w:widowControl/>
              <w:jc w:val="left"/>
              <w:rPr>
                <w:rFonts w:hint="eastAsia" w:ascii="宋体" w:hAnsi="宋体" w:cs="宋体"/>
                <w:kern w:val="0"/>
                <w:sz w:val="20"/>
                <w:szCs w:val="20"/>
              </w:rPr>
            </w:pPr>
            <w:r>
              <w:rPr>
                <w:rFonts w:hint="eastAsia" w:ascii="宋体" w:hAnsi="宋体" w:cs="宋体"/>
                <w:kern w:val="0"/>
                <w:sz w:val="20"/>
                <w:szCs w:val="20"/>
              </w:rPr>
              <w:t>受益对象满意度</w:t>
            </w:r>
          </w:p>
        </w:tc>
        <w:tc>
          <w:tcPr>
            <w:tcW w:w="1275" w:type="dxa"/>
            <w:tcBorders>
              <w:top w:val="nil"/>
              <w:left w:val="nil"/>
              <w:bottom w:val="single" w:color="auto" w:sz="4" w:space="0"/>
              <w:right w:val="single" w:color="auto" w:sz="4" w:space="0"/>
            </w:tcBorders>
            <w:shd w:val="clear" w:color="auto" w:fill="auto"/>
            <w:noWrap/>
            <w:vAlign w:val="center"/>
          </w:tcPr>
          <w:p w14:paraId="007CC9A4">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134" w:type="dxa"/>
            <w:tcBorders>
              <w:top w:val="nil"/>
              <w:left w:val="nil"/>
              <w:bottom w:val="single" w:color="auto" w:sz="4" w:space="0"/>
              <w:right w:val="single" w:color="auto" w:sz="4" w:space="0"/>
            </w:tcBorders>
            <w:shd w:val="clear" w:color="auto" w:fill="auto"/>
            <w:noWrap/>
            <w:vAlign w:val="center"/>
          </w:tcPr>
          <w:p w14:paraId="4E5059B1">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868" w:type="dxa"/>
            <w:tcBorders>
              <w:top w:val="nil"/>
              <w:left w:val="nil"/>
              <w:bottom w:val="single" w:color="auto" w:sz="4" w:space="0"/>
              <w:right w:val="single" w:color="auto" w:sz="4" w:space="0"/>
            </w:tcBorders>
            <w:shd w:val="clear" w:color="auto" w:fill="auto"/>
            <w:noWrap/>
            <w:vAlign w:val="center"/>
          </w:tcPr>
          <w:p w14:paraId="7B8DAF38">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02" w:type="dxa"/>
            <w:tcBorders>
              <w:top w:val="nil"/>
              <w:left w:val="nil"/>
              <w:bottom w:val="single" w:color="auto" w:sz="4" w:space="0"/>
              <w:right w:val="single" w:color="auto" w:sz="4" w:space="0"/>
            </w:tcBorders>
            <w:shd w:val="clear" w:color="auto" w:fill="auto"/>
            <w:noWrap/>
            <w:vAlign w:val="center"/>
          </w:tcPr>
          <w:p w14:paraId="0587ED6F">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07" w:type="dxa"/>
            <w:tcBorders>
              <w:top w:val="nil"/>
              <w:left w:val="nil"/>
              <w:bottom w:val="single" w:color="auto" w:sz="4" w:space="0"/>
              <w:right w:val="single" w:color="auto" w:sz="4" w:space="0"/>
            </w:tcBorders>
            <w:shd w:val="clear" w:color="auto" w:fill="auto"/>
            <w:noWrap/>
            <w:vAlign w:val="center"/>
          </w:tcPr>
          <w:p w14:paraId="4AAC78FD">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1046F61F">
      <w:pPr>
        <w:ind w:firstLine="643" w:firstLineChars="200"/>
        <w:jc w:val="left"/>
        <w:rPr>
          <w:rFonts w:hint="eastAsia" w:ascii="仿宋_GB2312" w:hAnsi="仿宋_GB2312" w:eastAsia="仿宋_GB2312" w:cs="仿宋_GB2312"/>
          <w:b/>
          <w:bCs/>
          <w:kern w:val="0"/>
          <w:sz w:val="32"/>
          <w:szCs w:val="32"/>
        </w:rPr>
      </w:pPr>
    </w:p>
    <w:tbl>
      <w:tblPr>
        <w:tblStyle w:val="9"/>
        <w:tblW w:w="4869" w:type="pct"/>
        <w:jc w:val="center"/>
        <w:tblLayout w:type="autofit"/>
        <w:tblCellMar>
          <w:top w:w="0" w:type="dxa"/>
          <w:left w:w="108" w:type="dxa"/>
          <w:bottom w:w="0" w:type="dxa"/>
          <w:right w:w="108" w:type="dxa"/>
        </w:tblCellMar>
      </w:tblPr>
      <w:tblGrid>
        <w:gridCol w:w="490"/>
        <w:gridCol w:w="491"/>
        <w:gridCol w:w="969"/>
        <w:gridCol w:w="621"/>
        <w:gridCol w:w="900"/>
        <w:gridCol w:w="558"/>
        <w:gridCol w:w="886"/>
        <w:gridCol w:w="780"/>
        <w:gridCol w:w="243"/>
        <w:gridCol w:w="402"/>
        <w:gridCol w:w="255"/>
        <w:gridCol w:w="557"/>
        <w:gridCol w:w="396"/>
        <w:gridCol w:w="751"/>
      </w:tblGrid>
      <w:tr w14:paraId="5669AC52">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B375FF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1DF58F7">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F04AFF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60EBCE94">
        <w:tblPrEx>
          <w:tblCellMar>
            <w:top w:w="0" w:type="dxa"/>
            <w:left w:w="108" w:type="dxa"/>
            <w:bottom w:w="0" w:type="dxa"/>
            <w:right w:w="108" w:type="dxa"/>
          </w:tblCellMar>
        </w:tblPrEx>
        <w:trPr>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64E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4AA96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产品质量抽检、执法检查、推进标准化工作经费</w:t>
            </w:r>
          </w:p>
        </w:tc>
      </w:tr>
      <w:tr w14:paraId="58FEFDED">
        <w:tblPrEx>
          <w:tblCellMar>
            <w:top w:w="0" w:type="dxa"/>
            <w:left w:w="108" w:type="dxa"/>
            <w:bottom w:w="0" w:type="dxa"/>
            <w:right w:w="108" w:type="dxa"/>
          </w:tblCellMar>
        </w:tblPrEx>
        <w:trPr>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60F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14:paraId="0F4A1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木垒哈萨克自治县市场监督管理局</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276D3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23B7B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木垒哈萨克自治县市场监督管理局</w:t>
            </w:r>
          </w:p>
        </w:tc>
      </w:tr>
      <w:tr w14:paraId="2CF89FC6">
        <w:tblPrEx>
          <w:tblCellMar>
            <w:top w:w="0" w:type="dxa"/>
            <w:left w:w="108" w:type="dxa"/>
            <w:bottom w:w="0" w:type="dxa"/>
            <w:right w:w="108" w:type="dxa"/>
          </w:tblCellMar>
        </w:tblPrEx>
        <w:trPr>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606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11A487CA">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6FF9F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64CC2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072B0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81D0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C0E2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3703E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1C7DFE5">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591634E9">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43F8C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9248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48D68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10.94</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696E0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10.94</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D78B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BFE4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457EE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4700A3B">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5BE52AE2">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1AB0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182C3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73B03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10.94</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A90D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10.94</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270F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1CC7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CE33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6A1A638">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7A00ACB0">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6EDD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6D262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tcPr>
          <w:p w14:paraId="6CC77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tcPr>
          <w:p w14:paraId="3A858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E9F8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9BCB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8C20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94AEE28">
        <w:tblPrEx>
          <w:tblCellMar>
            <w:top w:w="0" w:type="dxa"/>
            <w:left w:w="108" w:type="dxa"/>
            <w:bottom w:w="0" w:type="dxa"/>
            <w:right w:w="108" w:type="dxa"/>
          </w:tblCellMar>
        </w:tblPrEx>
        <w:trPr>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272A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62E29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14:paraId="28F20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7BB46A1">
        <w:tblPrEx>
          <w:tblCellMar>
            <w:top w:w="0" w:type="dxa"/>
            <w:left w:w="108" w:type="dxa"/>
            <w:bottom w:w="0" w:type="dxa"/>
            <w:right w:w="108" w:type="dxa"/>
          </w:tblCellMar>
        </w:tblPrEx>
        <w:trPr>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A9F6A3E">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50BBB4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根据新疆维吾尔自治区、自治州市场监督管理局绩效考核要求，全面加强质量提升工作，加大执法力度，不断提高市场监管水平。</w:t>
            </w:r>
          </w:p>
        </w:tc>
        <w:tc>
          <w:tcPr>
            <w:tcW w:w="3384" w:type="dxa"/>
            <w:gridSpan w:val="7"/>
            <w:tcBorders>
              <w:top w:val="single" w:color="auto" w:sz="4" w:space="0"/>
              <w:left w:val="nil"/>
              <w:bottom w:val="single" w:color="auto" w:sz="4" w:space="0"/>
              <w:right w:val="single" w:color="auto" w:sz="4" w:space="0"/>
            </w:tcBorders>
            <w:shd w:val="clear" w:color="auto" w:fill="auto"/>
          </w:tcPr>
          <w:p w14:paraId="4BF817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截止本项目完成时限，我单位针对本项目已完成如下工作：监管次数12次，执法检查次数36次，全面加强了质量提升工作，加大了执法力度，不断提高了市场监管水平。</w:t>
            </w:r>
          </w:p>
        </w:tc>
      </w:tr>
      <w:tr w14:paraId="2FA70BEA">
        <w:tblPrEx>
          <w:tblCellMar>
            <w:top w:w="0" w:type="dxa"/>
            <w:left w:w="108" w:type="dxa"/>
            <w:bottom w:w="0" w:type="dxa"/>
            <w:right w:w="108" w:type="dxa"/>
          </w:tblCellMar>
        </w:tblPrEx>
        <w:trPr>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36914C4E">
            <w:pPr>
              <w:widowControl/>
              <w:jc w:val="center"/>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F292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69" w:type="dxa"/>
            <w:vMerge w:val="restart"/>
            <w:tcBorders>
              <w:top w:val="nil"/>
              <w:left w:val="single" w:color="auto" w:sz="4" w:space="0"/>
              <w:bottom w:val="single" w:color="auto" w:sz="4" w:space="0"/>
              <w:right w:val="single" w:color="auto" w:sz="4" w:space="0"/>
            </w:tcBorders>
            <w:shd w:val="clear" w:color="auto" w:fill="auto"/>
            <w:vAlign w:val="center"/>
          </w:tcPr>
          <w:p w14:paraId="67D2C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7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44B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138C8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108FE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6A0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C9D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66C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87678E4">
        <w:tblPrEx>
          <w:tblCellMar>
            <w:top w:w="0" w:type="dxa"/>
            <w:left w:w="108" w:type="dxa"/>
            <w:bottom w:w="0" w:type="dxa"/>
            <w:right w:w="108" w:type="dxa"/>
          </w:tblCellMar>
        </w:tblPrEx>
        <w:trPr>
          <w:trHeight w:val="312"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680DFC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916CCD6">
            <w:pPr>
              <w:widowControl/>
              <w:jc w:val="left"/>
              <w:rPr>
                <w:rFonts w:hint="eastAsia" w:ascii="宋体" w:hAnsi="宋体" w:cs="宋体"/>
                <w:color w:val="000000"/>
                <w:kern w:val="0"/>
                <w:sz w:val="20"/>
                <w:szCs w:val="20"/>
              </w:rPr>
            </w:pPr>
          </w:p>
        </w:tc>
        <w:tc>
          <w:tcPr>
            <w:tcW w:w="969" w:type="dxa"/>
            <w:vMerge w:val="continue"/>
            <w:tcBorders>
              <w:top w:val="nil"/>
              <w:left w:val="single" w:color="auto" w:sz="4" w:space="0"/>
              <w:bottom w:val="single" w:color="auto" w:sz="4" w:space="0"/>
              <w:right w:val="single" w:color="auto" w:sz="4" w:space="0"/>
            </w:tcBorders>
            <w:vAlign w:val="center"/>
          </w:tcPr>
          <w:p w14:paraId="4ABCEFE7">
            <w:pPr>
              <w:widowControl/>
              <w:jc w:val="left"/>
              <w:rPr>
                <w:rFonts w:hint="eastAsia" w:ascii="宋体" w:hAnsi="宋体" w:cs="宋体"/>
                <w:color w:val="000000"/>
                <w:kern w:val="0"/>
                <w:sz w:val="20"/>
                <w:szCs w:val="20"/>
              </w:rPr>
            </w:pPr>
          </w:p>
        </w:tc>
        <w:tc>
          <w:tcPr>
            <w:tcW w:w="2079" w:type="dxa"/>
            <w:gridSpan w:val="3"/>
            <w:vMerge w:val="continue"/>
            <w:tcBorders>
              <w:top w:val="single" w:color="auto" w:sz="4" w:space="0"/>
              <w:left w:val="single" w:color="auto" w:sz="4" w:space="0"/>
              <w:bottom w:val="single" w:color="auto" w:sz="4" w:space="0"/>
              <w:right w:val="single" w:color="auto" w:sz="4" w:space="0"/>
            </w:tcBorders>
            <w:vAlign w:val="center"/>
          </w:tcPr>
          <w:p w14:paraId="4D4C59AB">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0518CC6B">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2366C970">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14:paraId="394A99BE">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7DF8CF82">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4D3DA4FD">
            <w:pPr>
              <w:widowControl/>
              <w:jc w:val="left"/>
              <w:rPr>
                <w:rFonts w:hint="eastAsia" w:ascii="宋体" w:hAnsi="宋体" w:cs="宋体"/>
                <w:color w:val="000000"/>
                <w:kern w:val="0"/>
                <w:sz w:val="20"/>
                <w:szCs w:val="20"/>
              </w:rPr>
            </w:pPr>
          </w:p>
        </w:tc>
      </w:tr>
      <w:tr w14:paraId="799FD41B">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44088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5C04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69" w:type="dxa"/>
            <w:tcBorders>
              <w:top w:val="nil"/>
              <w:left w:val="nil"/>
              <w:bottom w:val="single" w:color="auto" w:sz="4" w:space="0"/>
              <w:right w:val="single" w:color="auto" w:sz="4" w:space="0"/>
            </w:tcBorders>
            <w:shd w:val="clear" w:color="auto" w:fill="auto"/>
            <w:vAlign w:val="center"/>
          </w:tcPr>
          <w:p w14:paraId="0C9F2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79" w:type="dxa"/>
            <w:gridSpan w:val="3"/>
            <w:tcBorders>
              <w:top w:val="single" w:color="auto" w:sz="4" w:space="0"/>
              <w:left w:val="nil"/>
              <w:bottom w:val="single" w:color="auto" w:sz="4" w:space="0"/>
              <w:right w:val="single" w:color="auto" w:sz="4" w:space="0"/>
            </w:tcBorders>
            <w:shd w:val="clear" w:color="auto" w:fill="auto"/>
            <w:noWrap/>
            <w:vAlign w:val="center"/>
          </w:tcPr>
          <w:p w14:paraId="4FE820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监管次数</w:t>
            </w:r>
          </w:p>
        </w:tc>
        <w:tc>
          <w:tcPr>
            <w:tcW w:w="886" w:type="dxa"/>
            <w:tcBorders>
              <w:top w:val="nil"/>
              <w:left w:val="nil"/>
              <w:bottom w:val="single" w:color="auto" w:sz="4" w:space="0"/>
              <w:right w:val="single" w:color="auto" w:sz="4" w:space="0"/>
            </w:tcBorders>
            <w:shd w:val="clear" w:color="auto" w:fill="auto"/>
            <w:vAlign w:val="center"/>
          </w:tcPr>
          <w:p w14:paraId="17311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5096D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6361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3683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1122647">
            <w:pPr>
              <w:widowControl/>
              <w:jc w:val="center"/>
              <w:rPr>
                <w:rFonts w:hint="eastAsia" w:ascii="宋体" w:hAnsi="宋体" w:cs="宋体"/>
                <w:color w:val="000000"/>
                <w:kern w:val="0"/>
                <w:sz w:val="20"/>
                <w:szCs w:val="20"/>
              </w:rPr>
            </w:pPr>
          </w:p>
        </w:tc>
      </w:tr>
      <w:tr w14:paraId="3B496BC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39908B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0F14175">
            <w:pPr>
              <w:widowControl/>
              <w:jc w:val="left"/>
              <w:rPr>
                <w:rFonts w:hint="eastAsia" w:ascii="宋体" w:hAnsi="宋体" w:cs="宋体"/>
                <w:color w:val="000000"/>
                <w:kern w:val="0"/>
                <w:sz w:val="20"/>
                <w:szCs w:val="20"/>
              </w:rPr>
            </w:pPr>
          </w:p>
        </w:tc>
        <w:tc>
          <w:tcPr>
            <w:tcW w:w="969" w:type="dxa"/>
            <w:tcBorders>
              <w:top w:val="nil"/>
              <w:left w:val="nil"/>
              <w:bottom w:val="single" w:color="auto" w:sz="4" w:space="0"/>
              <w:right w:val="single" w:color="auto" w:sz="4" w:space="0"/>
            </w:tcBorders>
            <w:shd w:val="clear" w:color="auto" w:fill="auto"/>
            <w:vAlign w:val="center"/>
          </w:tcPr>
          <w:p w14:paraId="6268F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79" w:type="dxa"/>
            <w:gridSpan w:val="3"/>
            <w:tcBorders>
              <w:top w:val="single" w:color="auto" w:sz="4" w:space="0"/>
              <w:left w:val="nil"/>
              <w:bottom w:val="single" w:color="auto" w:sz="4" w:space="0"/>
              <w:right w:val="single" w:color="auto" w:sz="4" w:space="0"/>
            </w:tcBorders>
            <w:shd w:val="clear" w:color="auto" w:fill="auto"/>
            <w:noWrap/>
            <w:vAlign w:val="center"/>
          </w:tcPr>
          <w:p w14:paraId="6FC853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执法检查次数</w:t>
            </w:r>
          </w:p>
        </w:tc>
        <w:tc>
          <w:tcPr>
            <w:tcW w:w="886" w:type="dxa"/>
            <w:tcBorders>
              <w:top w:val="nil"/>
              <w:left w:val="nil"/>
              <w:bottom w:val="single" w:color="auto" w:sz="4" w:space="0"/>
              <w:right w:val="single" w:color="auto" w:sz="4" w:space="0"/>
            </w:tcBorders>
            <w:shd w:val="clear" w:color="auto" w:fill="auto"/>
            <w:vAlign w:val="center"/>
          </w:tcPr>
          <w:p w14:paraId="73429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w:t>
            </w:r>
          </w:p>
        </w:tc>
        <w:tc>
          <w:tcPr>
            <w:tcW w:w="780" w:type="dxa"/>
            <w:tcBorders>
              <w:top w:val="nil"/>
              <w:left w:val="nil"/>
              <w:bottom w:val="single" w:color="auto" w:sz="4" w:space="0"/>
              <w:right w:val="single" w:color="auto" w:sz="4" w:space="0"/>
            </w:tcBorders>
            <w:shd w:val="clear" w:color="auto" w:fill="auto"/>
            <w:vAlign w:val="center"/>
          </w:tcPr>
          <w:p w14:paraId="5D5E5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646B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32B4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E0E0FA9">
            <w:pPr>
              <w:widowControl/>
              <w:jc w:val="center"/>
              <w:rPr>
                <w:rFonts w:hint="eastAsia" w:ascii="宋体" w:hAnsi="宋体" w:cs="宋体"/>
                <w:color w:val="000000"/>
                <w:kern w:val="0"/>
                <w:sz w:val="20"/>
                <w:szCs w:val="20"/>
              </w:rPr>
            </w:pPr>
          </w:p>
        </w:tc>
      </w:tr>
      <w:tr w14:paraId="40B285B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AB911E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8F1A05D">
            <w:pPr>
              <w:widowControl/>
              <w:jc w:val="left"/>
              <w:rPr>
                <w:rFonts w:hint="eastAsia" w:ascii="宋体" w:hAnsi="宋体" w:cs="宋体"/>
                <w:color w:val="000000"/>
                <w:kern w:val="0"/>
                <w:sz w:val="20"/>
                <w:szCs w:val="20"/>
              </w:rPr>
            </w:pPr>
          </w:p>
        </w:tc>
        <w:tc>
          <w:tcPr>
            <w:tcW w:w="969" w:type="dxa"/>
            <w:tcBorders>
              <w:top w:val="nil"/>
              <w:left w:val="nil"/>
              <w:bottom w:val="single" w:color="auto" w:sz="4" w:space="0"/>
              <w:right w:val="single" w:color="auto" w:sz="4" w:space="0"/>
            </w:tcBorders>
            <w:shd w:val="clear" w:color="auto" w:fill="auto"/>
            <w:vAlign w:val="center"/>
          </w:tcPr>
          <w:p w14:paraId="68A20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79" w:type="dxa"/>
            <w:gridSpan w:val="3"/>
            <w:tcBorders>
              <w:top w:val="single" w:color="auto" w:sz="4" w:space="0"/>
              <w:left w:val="nil"/>
              <w:bottom w:val="single" w:color="auto" w:sz="4" w:space="0"/>
              <w:right w:val="single" w:color="auto" w:sz="4" w:space="0"/>
            </w:tcBorders>
            <w:shd w:val="clear" w:color="auto" w:fill="auto"/>
            <w:noWrap/>
            <w:vAlign w:val="center"/>
          </w:tcPr>
          <w:p w14:paraId="2AC820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产品质量抽检率</w:t>
            </w:r>
          </w:p>
        </w:tc>
        <w:tc>
          <w:tcPr>
            <w:tcW w:w="886" w:type="dxa"/>
            <w:tcBorders>
              <w:top w:val="nil"/>
              <w:left w:val="nil"/>
              <w:bottom w:val="single" w:color="auto" w:sz="4" w:space="0"/>
              <w:right w:val="single" w:color="auto" w:sz="4" w:space="0"/>
            </w:tcBorders>
            <w:shd w:val="clear" w:color="auto" w:fill="auto"/>
            <w:vAlign w:val="center"/>
          </w:tcPr>
          <w:p w14:paraId="5A820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4A1DE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8609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C2B4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323D32E">
            <w:pPr>
              <w:widowControl/>
              <w:jc w:val="center"/>
              <w:rPr>
                <w:rFonts w:hint="eastAsia" w:ascii="宋体" w:hAnsi="宋体" w:cs="宋体"/>
                <w:color w:val="000000"/>
                <w:kern w:val="0"/>
                <w:sz w:val="20"/>
                <w:szCs w:val="20"/>
              </w:rPr>
            </w:pPr>
          </w:p>
        </w:tc>
      </w:tr>
      <w:tr w14:paraId="11550D7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BC0D73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00DE825">
            <w:pPr>
              <w:widowControl/>
              <w:jc w:val="left"/>
              <w:rPr>
                <w:rFonts w:hint="eastAsia" w:ascii="宋体" w:hAnsi="宋体" w:cs="宋体"/>
                <w:color w:val="000000"/>
                <w:kern w:val="0"/>
                <w:sz w:val="20"/>
                <w:szCs w:val="20"/>
              </w:rPr>
            </w:pPr>
          </w:p>
        </w:tc>
        <w:tc>
          <w:tcPr>
            <w:tcW w:w="969" w:type="dxa"/>
            <w:tcBorders>
              <w:top w:val="nil"/>
              <w:left w:val="nil"/>
              <w:bottom w:val="single" w:color="auto" w:sz="4" w:space="0"/>
              <w:right w:val="single" w:color="auto" w:sz="4" w:space="0"/>
            </w:tcBorders>
            <w:shd w:val="clear" w:color="auto" w:fill="auto"/>
            <w:vAlign w:val="center"/>
          </w:tcPr>
          <w:p w14:paraId="408FBA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79" w:type="dxa"/>
            <w:gridSpan w:val="3"/>
            <w:tcBorders>
              <w:top w:val="single" w:color="auto" w:sz="4" w:space="0"/>
              <w:left w:val="nil"/>
              <w:bottom w:val="single" w:color="auto" w:sz="4" w:space="0"/>
              <w:right w:val="single" w:color="auto" w:sz="4" w:space="0"/>
            </w:tcBorders>
            <w:shd w:val="clear" w:color="auto" w:fill="auto"/>
            <w:noWrap/>
            <w:vAlign w:val="center"/>
          </w:tcPr>
          <w:p w14:paraId="65057D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执法检查及时率</w:t>
            </w:r>
          </w:p>
        </w:tc>
        <w:tc>
          <w:tcPr>
            <w:tcW w:w="886" w:type="dxa"/>
            <w:tcBorders>
              <w:top w:val="nil"/>
              <w:left w:val="nil"/>
              <w:bottom w:val="single" w:color="auto" w:sz="4" w:space="0"/>
              <w:right w:val="single" w:color="auto" w:sz="4" w:space="0"/>
            </w:tcBorders>
            <w:shd w:val="clear" w:color="auto" w:fill="auto"/>
            <w:vAlign w:val="center"/>
          </w:tcPr>
          <w:p w14:paraId="1E9F7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66413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E52B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5AA1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8E2D09F">
            <w:pPr>
              <w:widowControl/>
              <w:jc w:val="center"/>
              <w:rPr>
                <w:rFonts w:hint="eastAsia" w:ascii="宋体" w:hAnsi="宋体" w:cs="宋体"/>
                <w:color w:val="000000"/>
                <w:kern w:val="0"/>
                <w:sz w:val="20"/>
                <w:szCs w:val="20"/>
              </w:rPr>
            </w:pPr>
          </w:p>
        </w:tc>
      </w:tr>
      <w:tr w14:paraId="2E49D82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6F295EE">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36E7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69" w:type="dxa"/>
            <w:tcBorders>
              <w:top w:val="nil"/>
              <w:left w:val="nil"/>
              <w:bottom w:val="single" w:color="auto" w:sz="4" w:space="0"/>
              <w:right w:val="single" w:color="auto" w:sz="4" w:space="0"/>
            </w:tcBorders>
            <w:shd w:val="clear" w:color="auto" w:fill="auto"/>
            <w:vAlign w:val="center"/>
          </w:tcPr>
          <w:p w14:paraId="60C0B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79" w:type="dxa"/>
            <w:gridSpan w:val="3"/>
            <w:tcBorders>
              <w:top w:val="single" w:color="auto" w:sz="4" w:space="0"/>
              <w:left w:val="nil"/>
              <w:bottom w:val="single" w:color="auto" w:sz="4" w:space="0"/>
              <w:right w:val="single" w:color="auto" w:sz="4" w:space="0"/>
            </w:tcBorders>
            <w:shd w:val="clear" w:color="auto" w:fill="auto"/>
            <w:noWrap/>
            <w:vAlign w:val="center"/>
          </w:tcPr>
          <w:p w14:paraId="5B7D10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67DD6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32E77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5033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669A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EA4C403">
            <w:pPr>
              <w:widowControl/>
              <w:jc w:val="center"/>
              <w:rPr>
                <w:rFonts w:hint="eastAsia" w:ascii="宋体" w:hAnsi="宋体" w:cs="宋体"/>
                <w:color w:val="000000"/>
                <w:kern w:val="0"/>
                <w:sz w:val="20"/>
                <w:szCs w:val="20"/>
              </w:rPr>
            </w:pPr>
          </w:p>
        </w:tc>
      </w:tr>
      <w:tr w14:paraId="6536413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1F539D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7B99EE4">
            <w:pPr>
              <w:widowControl/>
              <w:jc w:val="left"/>
              <w:rPr>
                <w:rFonts w:hint="eastAsia" w:ascii="宋体" w:hAnsi="宋体" w:cs="宋体"/>
                <w:color w:val="000000"/>
                <w:kern w:val="0"/>
                <w:sz w:val="20"/>
                <w:szCs w:val="20"/>
              </w:rPr>
            </w:pPr>
          </w:p>
        </w:tc>
        <w:tc>
          <w:tcPr>
            <w:tcW w:w="969" w:type="dxa"/>
            <w:tcBorders>
              <w:top w:val="nil"/>
              <w:left w:val="nil"/>
              <w:bottom w:val="single" w:color="auto" w:sz="4" w:space="0"/>
              <w:right w:val="single" w:color="auto" w:sz="4" w:space="0"/>
            </w:tcBorders>
            <w:shd w:val="clear" w:color="auto" w:fill="auto"/>
            <w:vAlign w:val="center"/>
          </w:tcPr>
          <w:p w14:paraId="47114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79" w:type="dxa"/>
            <w:gridSpan w:val="3"/>
            <w:tcBorders>
              <w:top w:val="single" w:color="auto" w:sz="4" w:space="0"/>
              <w:left w:val="nil"/>
              <w:bottom w:val="single" w:color="auto" w:sz="4" w:space="0"/>
              <w:right w:val="single" w:color="auto" w:sz="4" w:space="0"/>
            </w:tcBorders>
            <w:shd w:val="clear" w:color="auto" w:fill="auto"/>
            <w:noWrap/>
            <w:vAlign w:val="center"/>
          </w:tcPr>
          <w:p w14:paraId="7E0B83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被管理者相关投诉率</w:t>
            </w:r>
          </w:p>
        </w:tc>
        <w:tc>
          <w:tcPr>
            <w:tcW w:w="886" w:type="dxa"/>
            <w:tcBorders>
              <w:top w:val="nil"/>
              <w:left w:val="nil"/>
              <w:bottom w:val="single" w:color="auto" w:sz="4" w:space="0"/>
              <w:right w:val="single" w:color="auto" w:sz="4" w:space="0"/>
            </w:tcBorders>
            <w:shd w:val="clear" w:color="auto" w:fill="auto"/>
            <w:vAlign w:val="center"/>
          </w:tcPr>
          <w:p w14:paraId="1ACB1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780" w:type="dxa"/>
            <w:tcBorders>
              <w:top w:val="nil"/>
              <w:left w:val="nil"/>
              <w:bottom w:val="single" w:color="auto" w:sz="4" w:space="0"/>
              <w:right w:val="single" w:color="auto" w:sz="4" w:space="0"/>
            </w:tcBorders>
            <w:shd w:val="clear" w:color="auto" w:fill="auto"/>
            <w:vAlign w:val="center"/>
          </w:tcPr>
          <w:p w14:paraId="7C32A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F44D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E652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99449CA">
            <w:pPr>
              <w:widowControl/>
              <w:jc w:val="center"/>
              <w:rPr>
                <w:rFonts w:hint="eastAsia" w:ascii="宋体" w:hAnsi="宋体" w:cs="宋体"/>
                <w:color w:val="000000"/>
                <w:kern w:val="0"/>
                <w:sz w:val="20"/>
                <w:szCs w:val="20"/>
              </w:rPr>
            </w:pPr>
          </w:p>
        </w:tc>
      </w:tr>
      <w:tr w14:paraId="66FC9D0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5F369B8">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762BA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69" w:type="dxa"/>
            <w:tcBorders>
              <w:top w:val="nil"/>
              <w:left w:val="nil"/>
              <w:bottom w:val="single" w:color="auto" w:sz="4" w:space="0"/>
              <w:right w:val="single" w:color="auto" w:sz="4" w:space="0"/>
            </w:tcBorders>
            <w:shd w:val="clear" w:color="auto" w:fill="auto"/>
            <w:vAlign w:val="center"/>
          </w:tcPr>
          <w:p w14:paraId="04942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79" w:type="dxa"/>
            <w:gridSpan w:val="3"/>
            <w:tcBorders>
              <w:top w:val="single" w:color="auto" w:sz="4" w:space="0"/>
              <w:left w:val="nil"/>
              <w:bottom w:val="single" w:color="auto" w:sz="4" w:space="0"/>
              <w:right w:val="single" w:color="auto" w:sz="4" w:space="0"/>
            </w:tcBorders>
            <w:shd w:val="clear" w:color="auto" w:fill="auto"/>
            <w:noWrap/>
            <w:vAlign w:val="center"/>
          </w:tcPr>
          <w:p w14:paraId="430148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6" w:type="dxa"/>
            <w:tcBorders>
              <w:top w:val="nil"/>
              <w:left w:val="nil"/>
              <w:bottom w:val="single" w:color="auto" w:sz="4" w:space="0"/>
              <w:right w:val="single" w:color="auto" w:sz="4" w:space="0"/>
            </w:tcBorders>
            <w:shd w:val="clear" w:color="auto" w:fill="auto"/>
            <w:vAlign w:val="center"/>
          </w:tcPr>
          <w:p w14:paraId="234D6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6B3B7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2ED8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D6AC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39E5780">
            <w:pPr>
              <w:widowControl/>
              <w:jc w:val="center"/>
              <w:rPr>
                <w:rFonts w:hint="eastAsia" w:ascii="宋体" w:hAnsi="宋体" w:cs="宋体"/>
                <w:color w:val="000000"/>
                <w:kern w:val="0"/>
                <w:sz w:val="20"/>
                <w:szCs w:val="20"/>
              </w:rPr>
            </w:pPr>
          </w:p>
        </w:tc>
      </w:tr>
      <w:tr w14:paraId="348268E1">
        <w:tblPrEx>
          <w:tblCellMar>
            <w:top w:w="0" w:type="dxa"/>
            <w:left w:w="108" w:type="dxa"/>
            <w:bottom w:w="0" w:type="dxa"/>
            <w:right w:w="108" w:type="dxa"/>
          </w:tblCellMar>
        </w:tblPrEx>
        <w:trPr>
          <w:trHeight w:val="288" w:hRule="atLeast"/>
          <w:jc w:val="center"/>
        </w:trPr>
        <w:tc>
          <w:tcPr>
            <w:tcW w:w="569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420F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EFF4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38A6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F8900B4">
            <w:pPr>
              <w:widowControl/>
              <w:jc w:val="center"/>
              <w:rPr>
                <w:rFonts w:hint="eastAsia" w:ascii="宋体" w:hAnsi="宋体" w:cs="宋体"/>
                <w:color w:val="000000"/>
                <w:kern w:val="0"/>
                <w:sz w:val="20"/>
                <w:szCs w:val="20"/>
              </w:rPr>
            </w:pPr>
          </w:p>
        </w:tc>
      </w:tr>
    </w:tbl>
    <w:p w14:paraId="3848A8EE">
      <w:pPr>
        <w:ind w:firstLine="643" w:firstLineChars="200"/>
        <w:jc w:val="left"/>
        <w:rPr>
          <w:rFonts w:hint="eastAsia" w:ascii="仿宋_GB2312" w:hAnsi="仿宋_GB2312" w:eastAsia="仿宋_GB2312" w:cs="仿宋_GB2312"/>
          <w:b/>
          <w:bCs/>
          <w:kern w:val="0"/>
          <w:sz w:val="32"/>
          <w:szCs w:val="32"/>
        </w:rPr>
      </w:pPr>
    </w:p>
    <w:tbl>
      <w:tblPr>
        <w:tblStyle w:val="9"/>
        <w:tblW w:w="4869" w:type="pct"/>
        <w:jc w:val="center"/>
        <w:tblLayout w:type="autofit"/>
        <w:tblCellMar>
          <w:top w:w="0" w:type="dxa"/>
          <w:left w:w="108" w:type="dxa"/>
          <w:bottom w:w="0" w:type="dxa"/>
          <w:right w:w="108" w:type="dxa"/>
        </w:tblCellMar>
      </w:tblPr>
      <w:tblGrid>
        <w:gridCol w:w="501"/>
        <w:gridCol w:w="501"/>
        <w:gridCol w:w="1373"/>
        <w:gridCol w:w="224"/>
        <w:gridCol w:w="900"/>
        <w:gridCol w:w="560"/>
        <w:gridCol w:w="810"/>
        <w:gridCol w:w="789"/>
        <w:gridCol w:w="253"/>
        <w:gridCol w:w="408"/>
        <w:gridCol w:w="266"/>
        <w:gridCol w:w="557"/>
        <w:gridCol w:w="401"/>
        <w:gridCol w:w="756"/>
      </w:tblGrid>
      <w:tr w14:paraId="58E4E79A">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976AD5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20BCD46">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095E8A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7B863E5">
        <w:tblPrEx>
          <w:tblCellMar>
            <w:top w:w="0" w:type="dxa"/>
            <w:left w:w="108" w:type="dxa"/>
            <w:bottom w:w="0" w:type="dxa"/>
            <w:right w:w="108" w:type="dxa"/>
          </w:tblCellMar>
        </w:tblPrEx>
        <w:trPr>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CED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7" w:type="dxa"/>
            <w:gridSpan w:val="12"/>
            <w:tcBorders>
              <w:top w:val="single" w:color="auto" w:sz="4" w:space="0"/>
              <w:left w:val="nil"/>
              <w:bottom w:val="single" w:color="auto" w:sz="4" w:space="0"/>
              <w:right w:val="single" w:color="auto" w:sz="4" w:space="0"/>
            </w:tcBorders>
            <w:shd w:val="clear" w:color="auto" w:fill="auto"/>
            <w:vAlign w:val="center"/>
          </w:tcPr>
          <w:p w14:paraId="1F54E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食品及食用农产品抽检</w:t>
            </w:r>
          </w:p>
        </w:tc>
      </w:tr>
      <w:tr w14:paraId="257D9BC4">
        <w:tblPrEx>
          <w:tblCellMar>
            <w:top w:w="0" w:type="dxa"/>
            <w:left w:w="108" w:type="dxa"/>
            <w:bottom w:w="0" w:type="dxa"/>
            <w:right w:w="108" w:type="dxa"/>
          </w:tblCellMar>
        </w:tblPrEx>
        <w:trPr>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DD1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1780F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木垒哈萨克自治县市场监督管理局</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493D0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45674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木垒哈萨克自治县市场监督管理局</w:t>
            </w:r>
          </w:p>
        </w:tc>
      </w:tr>
      <w:tr w14:paraId="71B4831C">
        <w:tblPrEx>
          <w:tblCellMar>
            <w:top w:w="0" w:type="dxa"/>
            <w:left w:w="108" w:type="dxa"/>
            <w:bottom w:w="0" w:type="dxa"/>
            <w:right w:w="108" w:type="dxa"/>
          </w:tblCellMar>
        </w:tblPrEx>
        <w:trPr>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CD6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0848C077">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6A0C4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0" w:type="dxa"/>
            <w:gridSpan w:val="2"/>
            <w:tcBorders>
              <w:top w:val="single" w:color="auto" w:sz="4" w:space="0"/>
              <w:left w:val="nil"/>
              <w:bottom w:val="single" w:color="auto" w:sz="4" w:space="0"/>
              <w:right w:val="single" w:color="auto" w:sz="4" w:space="0"/>
            </w:tcBorders>
            <w:shd w:val="clear" w:color="auto" w:fill="auto"/>
            <w:vAlign w:val="center"/>
          </w:tcPr>
          <w:p w14:paraId="73318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4DF75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3E40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7E8EF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4D272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367E820">
        <w:tblPrEx>
          <w:tblCellMar>
            <w:top w:w="0" w:type="dxa"/>
            <w:left w:w="108" w:type="dxa"/>
            <w:bottom w:w="0" w:type="dxa"/>
            <w:right w:w="108" w:type="dxa"/>
          </w:tblCellMar>
        </w:tblPrEx>
        <w:trPr>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3516AE7A">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42304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51460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w:t>
            </w:r>
          </w:p>
        </w:tc>
        <w:tc>
          <w:tcPr>
            <w:tcW w:w="1370" w:type="dxa"/>
            <w:gridSpan w:val="2"/>
            <w:tcBorders>
              <w:top w:val="single" w:color="auto" w:sz="4" w:space="0"/>
              <w:left w:val="nil"/>
              <w:bottom w:val="single" w:color="auto" w:sz="4" w:space="0"/>
              <w:right w:val="single" w:color="auto" w:sz="4" w:space="0"/>
            </w:tcBorders>
            <w:shd w:val="clear" w:color="auto" w:fill="auto"/>
            <w:vAlign w:val="center"/>
          </w:tcPr>
          <w:p w14:paraId="070DB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17.70</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33665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17.70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772F0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63713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09F7D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A80FEF1">
        <w:tblPrEx>
          <w:tblCellMar>
            <w:top w:w="0" w:type="dxa"/>
            <w:left w:w="108" w:type="dxa"/>
            <w:bottom w:w="0" w:type="dxa"/>
            <w:right w:w="108" w:type="dxa"/>
          </w:tblCellMar>
        </w:tblPrEx>
        <w:trPr>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4440BDA9">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02B8D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076CF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w:t>
            </w:r>
          </w:p>
        </w:tc>
        <w:tc>
          <w:tcPr>
            <w:tcW w:w="1370" w:type="dxa"/>
            <w:gridSpan w:val="2"/>
            <w:tcBorders>
              <w:top w:val="single" w:color="auto" w:sz="4" w:space="0"/>
              <w:left w:val="nil"/>
              <w:bottom w:val="single" w:color="auto" w:sz="4" w:space="0"/>
              <w:right w:val="single" w:color="auto" w:sz="4" w:space="0"/>
            </w:tcBorders>
            <w:shd w:val="clear" w:color="auto" w:fill="auto"/>
            <w:vAlign w:val="center"/>
          </w:tcPr>
          <w:p w14:paraId="79DBF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17.70</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06686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17.70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6E548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3CE3E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0D477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27181A">
        <w:tblPrEx>
          <w:tblCellMar>
            <w:top w:w="0" w:type="dxa"/>
            <w:left w:w="108" w:type="dxa"/>
            <w:bottom w:w="0" w:type="dxa"/>
            <w:right w:w="108" w:type="dxa"/>
          </w:tblCellMar>
        </w:tblPrEx>
        <w:trPr>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626A37A3">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1FE56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3E766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0" w:type="dxa"/>
            <w:gridSpan w:val="2"/>
            <w:tcBorders>
              <w:top w:val="single" w:color="auto" w:sz="4" w:space="0"/>
              <w:left w:val="nil"/>
              <w:bottom w:val="single" w:color="auto" w:sz="4" w:space="0"/>
              <w:right w:val="single" w:color="auto" w:sz="4" w:space="0"/>
            </w:tcBorders>
            <w:shd w:val="clear" w:color="auto" w:fill="auto"/>
          </w:tcPr>
          <w:p w14:paraId="5F6BD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2" w:type="dxa"/>
            <w:gridSpan w:val="2"/>
            <w:tcBorders>
              <w:top w:val="single" w:color="auto" w:sz="4" w:space="0"/>
              <w:left w:val="nil"/>
              <w:bottom w:val="single" w:color="auto" w:sz="4" w:space="0"/>
              <w:right w:val="single" w:color="auto" w:sz="4" w:space="0"/>
            </w:tcBorders>
            <w:shd w:val="clear" w:color="auto" w:fill="auto"/>
          </w:tcPr>
          <w:p w14:paraId="4618F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6A1A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1F84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6C93A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3DA40E">
        <w:tblPrEx>
          <w:tblCellMar>
            <w:top w:w="0" w:type="dxa"/>
            <w:left w:w="108" w:type="dxa"/>
            <w:bottom w:w="0" w:type="dxa"/>
            <w:right w:w="108" w:type="dxa"/>
          </w:tblCellMar>
        </w:tblPrEx>
        <w:trPr>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31D49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44603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0" w:type="dxa"/>
            <w:gridSpan w:val="7"/>
            <w:tcBorders>
              <w:top w:val="single" w:color="auto" w:sz="4" w:space="0"/>
              <w:left w:val="nil"/>
              <w:bottom w:val="single" w:color="auto" w:sz="4" w:space="0"/>
              <w:right w:val="single" w:color="auto" w:sz="4" w:space="0"/>
            </w:tcBorders>
            <w:shd w:val="clear" w:color="auto" w:fill="auto"/>
            <w:vAlign w:val="center"/>
          </w:tcPr>
          <w:p w14:paraId="3B512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B652C55">
        <w:tblPrEx>
          <w:tblCellMar>
            <w:top w:w="0" w:type="dxa"/>
            <w:left w:w="108" w:type="dxa"/>
            <w:bottom w:w="0" w:type="dxa"/>
            <w:right w:w="108" w:type="dxa"/>
          </w:tblCellMar>
        </w:tblPrEx>
        <w:trPr>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BCB8F18">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0B3D55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为全面贯彻落实全国食安办主任视频会议精神，进一步维护老百姓舌尖上的安全，主动作为，攻坚克难，加大对食品抽检的力度，不断提高食品安全监管能力。</w:t>
            </w:r>
          </w:p>
        </w:tc>
        <w:tc>
          <w:tcPr>
            <w:tcW w:w="3430" w:type="dxa"/>
            <w:gridSpan w:val="7"/>
            <w:tcBorders>
              <w:top w:val="single" w:color="auto" w:sz="4" w:space="0"/>
              <w:left w:val="nil"/>
              <w:bottom w:val="single" w:color="auto" w:sz="4" w:space="0"/>
              <w:right w:val="single" w:color="auto" w:sz="4" w:space="0"/>
            </w:tcBorders>
            <w:shd w:val="clear" w:color="auto" w:fill="auto"/>
          </w:tcPr>
          <w:p w14:paraId="4B0C8C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截止本项目完成时限，我单位针对本项目已完成如下工作：食品及食用农产品抽检次数120次，县域内食品行业监管次数120次，加大了对食品抽检的力度，不断提高了食品安全监管能力。</w:t>
            </w:r>
          </w:p>
        </w:tc>
      </w:tr>
      <w:tr w14:paraId="5B47A9B7">
        <w:tblPrEx>
          <w:tblCellMar>
            <w:top w:w="0" w:type="dxa"/>
            <w:left w:w="108" w:type="dxa"/>
            <w:bottom w:w="0" w:type="dxa"/>
            <w:right w:w="108" w:type="dxa"/>
          </w:tblCellMar>
        </w:tblPrEx>
        <w:trPr>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33628468">
            <w:pPr>
              <w:widowControl/>
              <w:jc w:val="center"/>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57E6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73" w:type="dxa"/>
            <w:vMerge w:val="restart"/>
            <w:tcBorders>
              <w:top w:val="nil"/>
              <w:left w:val="single" w:color="auto" w:sz="4" w:space="0"/>
              <w:bottom w:val="single" w:color="auto" w:sz="4" w:space="0"/>
              <w:right w:val="single" w:color="auto" w:sz="4" w:space="0"/>
            </w:tcBorders>
            <w:shd w:val="clear" w:color="auto" w:fill="auto"/>
            <w:vAlign w:val="center"/>
          </w:tcPr>
          <w:p w14:paraId="3D4A9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8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720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3DD56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4020F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C57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9AF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7CD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33AD985">
        <w:tblPrEx>
          <w:tblCellMar>
            <w:top w:w="0" w:type="dxa"/>
            <w:left w:w="108" w:type="dxa"/>
            <w:bottom w:w="0" w:type="dxa"/>
            <w:right w:w="108" w:type="dxa"/>
          </w:tblCellMar>
        </w:tblPrEx>
        <w:trPr>
          <w:trHeight w:val="312"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746B82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F12C459">
            <w:pPr>
              <w:widowControl/>
              <w:jc w:val="left"/>
              <w:rPr>
                <w:rFonts w:hint="eastAsia" w:ascii="宋体" w:hAnsi="宋体" w:cs="宋体"/>
                <w:color w:val="000000"/>
                <w:kern w:val="0"/>
                <w:sz w:val="20"/>
                <w:szCs w:val="20"/>
              </w:rPr>
            </w:pPr>
          </w:p>
        </w:tc>
        <w:tc>
          <w:tcPr>
            <w:tcW w:w="1373" w:type="dxa"/>
            <w:vMerge w:val="continue"/>
            <w:tcBorders>
              <w:top w:val="nil"/>
              <w:left w:val="single" w:color="auto" w:sz="4" w:space="0"/>
              <w:bottom w:val="single" w:color="auto" w:sz="4" w:space="0"/>
              <w:right w:val="single" w:color="auto" w:sz="4" w:space="0"/>
            </w:tcBorders>
            <w:vAlign w:val="center"/>
          </w:tcPr>
          <w:p w14:paraId="2E035590">
            <w:pPr>
              <w:widowControl/>
              <w:jc w:val="left"/>
              <w:rPr>
                <w:rFonts w:hint="eastAsia" w:ascii="宋体" w:hAnsi="宋体" w:cs="宋体"/>
                <w:color w:val="000000"/>
                <w:kern w:val="0"/>
                <w:sz w:val="20"/>
                <w:szCs w:val="20"/>
              </w:rPr>
            </w:pPr>
          </w:p>
        </w:tc>
        <w:tc>
          <w:tcPr>
            <w:tcW w:w="1684" w:type="dxa"/>
            <w:gridSpan w:val="3"/>
            <w:vMerge w:val="continue"/>
            <w:tcBorders>
              <w:top w:val="single" w:color="auto" w:sz="4" w:space="0"/>
              <w:left w:val="single" w:color="auto" w:sz="4" w:space="0"/>
              <w:bottom w:val="single" w:color="auto" w:sz="4" w:space="0"/>
              <w:right w:val="single" w:color="auto" w:sz="4" w:space="0"/>
            </w:tcBorders>
            <w:vAlign w:val="center"/>
          </w:tcPr>
          <w:p w14:paraId="50F636E0">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10A406BF">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7FA378EB">
            <w:pPr>
              <w:widowControl/>
              <w:jc w:val="left"/>
              <w:rPr>
                <w:rFonts w:hint="eastAsia" w:ascii="宋体" w:hAnsi="宋体" w:cs="宋体"/>
                <w:color w:val="000000"/>
                <w:kern w:val="0"/>
                <w:sz w:val="20"/>
                <w:szCs w:val="20"/>
              </w:rPr>
            </w:pPr>
          </w:p>
        </w:tc>
        <w:tc>
          <w:tcPr>
            <w:tcW w:w="661" w:type="dxa"/>
            <w:gridSpan w:val="2"/>
            <w:vMerge w:val="continue"/>
            <w:tcBorders>
              <w:top w:val="single" w:color="auto" w:sz="4" w:space="0"/>
              <w:left w:val="single" w:color="auto" w:sz="4" w:space="0"/>
              <w:bottom w:val="single" w:color="auto" w:sz="4" w:space="0"/>
              <w:right w:val="single" w:color="auto" w:sz="4" w:space="0"/>
            </w:tcBorders>
            <w:vAlign w:val="center"/>
          </w:tcPr>
          <w:p w14:paraId="3D62BDAB">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10130AFC">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4599326C">
            <w:pPr>
              <w:widowControl/>
              <w:jc w:val="left"/>
              <w:rPr>
                <w:rFonts w:hint="eastAsia" w:ascii="宋体" w:hAnsi="宋体" w:cs="宋体"/>
                <w:color w:val="000000"/>
                <w:kern w:val="0"/>
                <w:sz w:val="20"/>
                <w:szCs w:val="20"/>
              </w:rPr>
            </w:pPr>
          </w:p>
        </w:tc>
      </w:tr>
      <w:tr w14:paraId="41AD1C44">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3B79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6205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73" w:type="dxa"/>
            <w:tcBorders>
              <w:top w:val="nil"/>
              <w:left w:val="nil"/>
              <w:bottom w:val="single" w:color="auto" w:sz="4" w:space="0"/>
              <w:right w:val="single" w:color="auto" w:sz="4" w:space="0"/>
            </w:tcBorders>
            <w:shd w:val="clear" w:color="auto" w:fill="auto"/>
            <w:vAlign w:val="center"/>
          </w:tcPr>
          <w:p w14:paraId="21F72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84" w:type="dxa"/>
            <w:gridSpan w:val="3"/>
            <w:tcBorders>
              <w:top w:val="single" w:color="auto" w:sz="4" w:space="0"/>
              <w:left w:val="nil"/>
              <w:bottom w:val="single" w:color="auto" w:sz="4" w:space="0"/>
              <w:right w:val="single" w:color="auto" w:sz="4" w:space="0"/>
            </w:tcBorders>
            <w:shd w:val="clear" w:color="auto" w:fill="auto"/>
            <w:noWrap/>
            <w:vAlign w:val="center"/>
          </w:tcPr>
          <w:p w14:paraId="20B3CE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食品及食用农产品抽检次数</w:t>
            </w:r>
          </w:p>
        </w:tc>
        <w:tc>
          <w:tcPr>
            <w:tcW w:w="810" w:type="dxa"/>
            <w:tcBorders>
              <w:top w:val="nil"/>
              <w:left w:val="nil"/>
              <w:bottom w:val="single" w:color="auto" w:sz="4" w:space="0"/>
              <w:right w:val="single" w:color="auto" w:sz="4" w:space="0"/>
            </w:tcBorders>
            <w:shd w:val="clear" w:color="auto" w:fill="auto"/>
            <w:vAlign w:val="center"/>
          </w:tcPr>
          <w:p w14:paraId="2CFA1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&gt;=120次</w:t>
            </w:r>
          </w:p>
        </w:tc>
        <w:tc>
          <w:tcPr>
            <w:tcW w:w="789" w:type="dxa"/>
            <w:tcBorders>
              <w:top w:val="nil"/>
              <w:left w:val="nil"/>
              <w:bottom w:val="single" w:color="auto" w:sz="4" w:space="0"/>
              <w:right w:val="single" w:color="auto" w:sz="4" w:space="0"/>
            </w:tcBorders>
            <w:shd w:val="clear" w:color="auto" w:fill="auto"/>
            <w:vAlign w:val="center"/>
          </w:tcPr>
          <w:p w14:paraId="108AD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=120次</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3A8CE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9BE1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D79F1C6">
            <w:pPr>
              <w:widowControl/>
              <w:jc w:val="center"/>
              <w:rPr>
                <w:rFonts w:hint="eastAsia" w:ascii="宋体" w:hAnsi="宋体" w:cs="宋体"/>
                <w:color w:val="000000"/>
                <w:kern w:val="0"/>
                <w:sz w:val="20"/>
                <w:szCs w:val="20"/>
              </w:rPr>
            </w:pPr>
          </w:p>
        </w:tc>
      </w:tr>
      <w:tr w14:paraId="6FBBAC9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9224767">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31A0712">
            <w:pPr>
              <w:widowControl/>
              <w:jc w:val="left"/>
              <w:rPr>
                <w:rFonts w:hint="eastAsia" w:ascii="宋体" w:hAnsi="宋体" w:cs="宋体"/>
                <w:color w:val="000000"/>
                <w:kern w:val="0"/>
                <w:sz w:val="20"/>
                <w:szCs w:val="20"/>
              </w:rPr>
            </w:pPr>
          </w:p>
        </w:tc>
        <w:tc>
          <w:tcPr>
            <w:tcW w:w="1373" w:type="dxa"/>
            <w:tcBorders>
              <w:top w:val="nil"/>
              <w:left w:val="nil"/>
              <w:bottom w:val="single" w:color="auto" w:sz="4" w:space="0"/>
              <w:right w:val="single" w:color="auto" w:sz="4" w:space="0"/>
            </w:tcBorders>
            <w:shd w:val="clear" w:color="auto" w:fill="auto"/>
            <w:vAlign w:val="center"/>
          </w:tcPr>
          <w:p w14:paraId="388E1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84" w:type="dxa"/>
            <w:gridSpan w:val="3"/>
            <w:tcBorders>
              <w:top w:val="single" w:color="auto" w:sz="4" w:space="0"/>
              <w:left w:val="nil"/>
              <w:bottom w:val="single" w:color="auto" w:sz="4" w:space="0"/>
              <w:right w:val="single" w:color="auto" w:sz="4" w:space="0"/>
            </w:tcBorders>
            <w:shd w:val="clear" w:color="auto" w:fill="auto"/>
            <w:noWrap/>
            <w:vAlign w:val="center"/>
          </w:tcPr>
          <w:p w14:paraId="3D1861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县域内食品行业监管次数</w:t>
            </w:r>
          </w:p>
        </w:tc>
        <w:tc>
          <w:tcPr>
            <w:tcW w:w="810" w:type="dxa"/>
            <w:tcBorders>
              <w:top w:val="nil"/>
              <w:left w:val="nil"/>
              <w:bottom w:val="single" w:color="auto" w:sz="4" w:space="0"/>
              <w:right w:val="single" w:color="auto" w:sz="4" w:space="0"/>
            </w:tcBorders>
            <w:shd w:val="clear" w:color="auto" w:fill="auto"/>
            <w:vAlign w:val="center"/>
          </w:tcPr>
          <w:p w14:paraId="6B720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&gt;=120次</w:t>
            </w:r>
          </w:p>
        </w:tc>
        <w:tc>
          <w:tcPr>
            <w:tcW w:w="789" w:type="dxa"/>
            <w:tcBorders>
              <w:top w:val="nil"/>
              <w:left w:val="nil"/>
              <w:bottom w:val="single" w:color="auto" w:sz="4" w:space="0"/>
              <w:right w:val="single" w:color="auto" w:sz="4" w:space="0"/>
            </w:tcBorders>
            <w:shd w:val="clear" w:color="auto" w:fill="auto"/>
            <w:vAlign w:val="center"/>
          </w:tcPr>
          <w:p w14:paraId="11715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=120次</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43EF2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9DD6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DD3BC3E">
            <w:pPr>
              <w:widowControl/>
              <w:jc w:val="center"/>
              <w:rPr>
                <w:rFonts w:hint="eastAsia" w:ascii="宋体" w:hAnsi="宋体" w:cs="宋体"/>
                <w:color w:val="000000"/>
                <w:kern w:val="0"/>
                <w:sz w:val="20"/>
                <w:szCs w:val="20"/>
              </w:rPr>
            </w:pPr>
          </w:p>
        </w:tc>
      </w:tr>
      <w:tr w14:paraId="08E682BA">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DD951BC">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5215F5A">
            <w:pPr>
              <w:widowControl/>
              <w:jc w:val="left"/>
              <w:rPr>
                <w:rFonts w:hint="eastAsia" w:ascii="宋体" w:hAnsi="宋体" w:cs="宋体"/>
                <w:color w:val="000000"/>
                <w:kern w:val="0"/>
                <w:sz w:val="20"/>
                <w:szCs w:val="20"/>
              </w:rPr>
            </w:pPr>
          </w:p>
        </w:tc>
        <w:tc>
          <w:tcPr>
            <w:tcW w:w="1373" w:type="dxa"/>
            <w:tcBorders>
              <w:top w:val="nil"/>
              <w:left w:val="nil"/>
              <w:bottom w:val="single" w:color="auto" w:sz="4" w:space="0"/>
              <w:right w:val="single" w:color="auto" w:sz="4" w:space="0"/>
            </w:tcBorders>
            <w:shd w:val="clear" w:color="auto" w:fill="auto"/>
            <w:vAlign w:val="center"/>
          </w:tcPr>
          <w:p w14:paraId="4C53F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84" w:type="dxa"/>
            <w:gridSpan w:val="3"/>
            <w:tcBorders>
              <w:top w:val="single" w:color="auto" w:sz="4" w:space="0"/>
              <w:left w:val="nil"/>
              <w:bottom w:val="single" w:color="auto" w:sz="4" w:space="0"/>
              <w:right w:val="single" w:color="auto" w:sz="4" w:space="0"/>
            </w:tcBorders>
            <w:shd w:val="clear" w:color="auto" w:fill="auto"/>
            <w:noWrap/>
            <w:vAlign w:val="center"/>
          </w:tcPr>
          <w:p w14:paraId="4C9897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食品行业监管率</w:t>
            </w:r>
          </w:p>
        </w:tc>
        <w:tc>
          <w:tcPr>
            <w:tcW w:w="810" w:type="dxa"/>
            <w:tcBorders>
              <w:top w:val="nil"/>
              <w:left w:val="nil"/>
              <w:bottom w:val="single" w:color="auto" w:sz="4" w:space="0"/>
              <w:right w:val="single" w:color="auto" w:sz="4" w:space="0"/>
            </w:tcBorders>
            <w:shd w:val="clear" w:color="auto" w:fill="auto"/>
            <w:vAlign w:val="center"/>
          </w:tcPr>
          <w:p w14:paraId="14EE1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9" w:type="dxa"/>
            <w:tcBorders>
              <w:top w:val="nil"/>
              <w:left w:val="nil"/>
              <w:bottom w:val="single" w:color="auto" w:sz="4" w:space="0"/>
              <w:right w:val="single" w:color="auto" w:sz="4" w:space="0"/>
            </w:tcBorders>
            <w:shd w:val="clear" w:color="auto" w:fill="auto"/>
            <w:vAlign w:val="center"/>
          </w:tcPr>
          <w:p w14:paraId="0DF84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09364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16C8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C8C1894">
            <w:pPr>
              <w:widowControl/>
              <w:jc w:val="center"/>
              <w:rPr>
                <w:rFonts w:hint="eastAsia" w:ascii="宋体" w:hAnsi="宋体" w:cs="宋体"/>
                <w:color w:val="000000"/>
                <w:kern w:val="0"/>
                <w:sz w:val="20"/>
                <w:szCs w:val="20"/>
              </w:rPr>
            </w:pPr>
          </w:p>
        </w:tc>
      </w:tr>
      <w:tr w14:paraId="3AB4BE6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E31BFCA">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5974DED">
            <w:pPr>
              <w:widowControl/>
              <w:jc w:val="left"/>
              <w:rPr>
                <w:rFonts w:hint="eastAsia" w:ascii="宋体" w:hAnsi="宋体" w:cs="宋体"/>
                <w:color w:val="000000"/>
                <w:kern w:val="0"/>
                <w:sz w:val="20"/>
                <w:szCs w:val="20"/>
              </w:rPr>
            </w:pPr>
          </w:p>
        </w:tc>
        <w:tc>
          <w:tcPr>
            <w:tcW w:w="1373" w:type="dxa"/>
            <w:tcBorders>
              <w:top w:val="nil"/>
              <w:left w:val="nil"/>
              <w:bottom w:val="single" w:color="auto" w:sz="4" w:space="0"/>
              <w:right w:val="single" w:color="auto" w:sz="4" w:space="0"/>
            </w:tcBorders>
            <w:shd w:val="clear" w:color="auto" w:fill="auto"/>
            <w:vAlign w:val="center"/>
          </w:tcPr>
          <w:p w14:paraId="38953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84" w:type="dxa"/>
            <w:gridSpan w:val="3"/>
            <w:tcBorders>
              <w:top w:val="single" w:color="auto" w:sz="4" w:space="0"/>
              <w:left w:val="nil"/>
              <w:bottom w:val="single" w:color="auto" w:sz="4" w:space="0"/>
              <w:right w:val="single" w:color="auto" w:sz="4" w:space="0"/>
            </w:tcBorders>
            <w:shd w:val="clear" w:color="auto" w:fill="auto"/>
            <w:noWrap/>
            <w:vAlign w:val="center"/>
          </w:tcPr>
          <w:p w14:paraId="4E7828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资金到位及时率</w:t>
            </w:r>
          </w:p>
        </w:tc>
        <w:tc>
          <w:tcPr>
            <w:tcW w:w="810" w:type="dxa"/>
            <w:tcBorders>
              <w:top w:val="nil"/>
              <w:left w:val="nil"/>
              <w:bottom w:val="single" w:color="auto" w:sz="4" w:space="0"/>
              <w:right w:val="single" w:color="auto" w:sz="4" w:space="0"/>
            </w:tcBorders>
            <w:shd w:val="clear" w:color="auto" w:fill="auto"/>
            <w:vAlign w:val="center"/>
          </w:tcPr>
          <w:p w14:paraId="72C7A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F7F5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032CF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E790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3994085">
            <w:pPr>
              <w:widowControl/>
              <w:jc w:val="center"/>
              <w:rPr>
                <w:rFonts w:hint="eastAsia" w:ascii="宋体" w:hAnsi="宋体" w:cs="宋体"/>
                <w:color w:val="000000"/>
                <w:kern w:val="0"/>
                <w:sz w:val="20"/>
                <w:szCs w:val="20"/>
              </w:rPr>
            </w:pPr>
          </w:p>
        </w:tc>
      </w:tr>
      <w:tr w14:paraId="24AED047">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2F9A187">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7DB69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73" w:type="dxa"/>
            <w:tcBorders>
              <w:top w:val="nil"/>
              <w:left w:val="nil"/>
              <w:bottom w:val="single" w:color="auto" w:sz="4" w:space="0"/>
              <w:right w:val="single" w:color="auto" w:sz="4" w:space="0"/>
            </w:tcBorders>
            <w:shd w:val="clear" w:color="auto" w:fill="auto"/>
            <w:vAlign w:val="center"/>
          </w:tcPr>
          <w:p w14:paraId="6157A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84" w:type="dxa"/>
            <w:gridSpan w:val="3"/>
            <w:tcBorders>
              <w:top w:val="single" w:color="auto" w:sz="4" w:space="0"/>
              <w:left w:val="nil"/>
              <w:bottom w:val="single" w:color="auto" w:sz="4" w:space="0"/>
              <w:right w:val="single" w:color="auto" w:sz="4" w:space="0"/>
            </w:tcBorders>
            <w:shd w:val="clear" w:color="auto" w:fill="auto"/>
            <w:noWrap/>
            <w:vAlign w:val="center"/>
          </w:tcPr>
          <w:p w14:paraId="7BAD56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0" w:type="dxa"/>
            <w:tcBorders>
              <w:top w:val="nil"/>
              <w:left w:val="nil"/>
              <w:bottom w:val="single" w:color="auto" w:sz="4" w:space="0"/>
              <w:right w:val="single" w:color="auto" w:sz="4" w:space="0"/>
            </w:tcBorders>
            <w:shd w:val="clear" w:color="auto" w:fill="auto"/>
            <w:vAlign w:val="center"/>
          </w:tcPr>
          <w:p w14:paraId="43E02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0A1C2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762D9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F426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117CE56">
            <w:pPr>
              <w:widowControl/>
              <w:jc w:val="center"/>
              <w:rPr>
                <w:rFonts w:hint="eastAsia" w:ascii="宋体" w:hAnsi="宋体" w:cs="宋体"/>
                <w:color w:val="000000"/>
                <w:kern w:val="0"/>
                <w:sz w:val="20"/>
                <w:szCs w:val="20"/>
              </w:rPr>
            </w:pPr>
          </w:p>
        </w:tc>
      </w:tr>
      <w:tr w14:paraId="73A38A8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A755094">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1A13E46">
            <w:pPr>
              <w:widowControl/>
              <w:jc w:val="left"/>
              <w:rPr>
                <w:rFonts w:hint="eastAsia" w:ascii="宋体" w:hAnsi="宋体" w:cs="宋体"/>
                <w:color w:val="000000"/>
                <w:kern w:val="0"/>
                <w:sz w:val="20"/>
                <w:szCs w:val="20"/>
              </w:rPr>
            </w:pPr>
          </w:p>
        </w:tc>
        <w:tc>
          <w:tcPr>
            <w:tcW w:w="1373" w:type="dxa"/>
            <w:tcBorders>
              <w:top w:val="nil"/>
              <w:left w:val="nil"/>
              <w:bottom w:val="single" w:color="auto" w:sz="4" w:space="0"/>
              <w:right w:val="single" w:color="auto" w:sz="4" w:space="0"/>
            </w:tcBorders>
            <w:shd w:val="clear" w:color="auto" w:fill="auto"/>
            <w:vAlign w:val="center"/>
          </w:tcPr>
          <w:p w14:paraId="21DEA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84" w:type="dxa"/>
            <w:gridSpan w:val="3"/>
            <w:tcBorders>
              <w:top w:val="single" w:color="auto" w:sz="4" w:space="0"/>
              <w:left w:val="nil"/>
              <w:bottom w:val="single" w:color="auto" w:sz="4" w:space="0"/>
              <w:right w:val="single" w:color="auto" w:sz="4" w:space="0"/>
            </w:tcBorders>
            <w:shd w:val="clear" w:color="auto" w:fill="auto"/>
            <w:noWrap/>
            <w:vAlign w:val="center"/>
          </w:tcPr>
          <w:p w14:paraId="7552D4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食品安全监管水平提高率</w:t>
            </w:r>
          </w:p>
        </w:tc>
        <w:tc>
          <w:tcPr>
            <w:tcW w:w="810" w:type="dxa"/>
            <w:tcBorders>
              <w:top w:val="nil"/>
              <w:left w:val="nil"/>
              <w:bottom w:val="single" w:color="auto" w:sz="4" w:space="0"/>
              <w:right w:val="single" w:color="auto" w:sz="4" w:space="0"/>
            </w:tcBorders>
            <w:shd w:val="clear" w:color="auto" w:fill="auto"/>
            <w:vAlign w:val="center"/>
          </w:tcPr>
          <w:p w14:paraId="059CE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9" w:type="dxa"/>
            <w:tcBorders>
              <w:top w:val="nil"/>
              <w:left w:val="nil"/>
              <w:bottom w:val="single" w:color="auto" w:sz="4" w:space="0"/>
              <w:right w:val="single" w:color="auto" w:sz="4" w:space="0"/>
            </w:tcBorders>
            <w:shd w:val="clear" w:color="auto" w:fill="auto"/>
            <w:vAlign w:val="center"/>
          </w:tcPr>
          <w:p w14:paraId="6F6F9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272B2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D288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800DA0A">
            <w:pPr>
              <w:widowControl/>
              <w:jc w:val="center"/>
              <w:rPr>
                <w:rFonts w:hint="eastAsia" w:ascii="宋体" w:hAnsi="宋体" w:cs="宋体"/>
                <w:color w:val="000000"/>
                <w:kern w:val="0"/>
                <w:sz w:val="20"/>
                <w:szCs w:val="20"/>
              </w:rPr>
            </w:pPr>
          </w:p>
        </w:tc>
      </w:tr>
      <w:tr w14:paraId="007D3155">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E4FF162">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1BEC0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3" w:type="dxa"/>
            <w:tcBorders>
              <w:top w:val="nil"/>
              <w:left w:val="nil"/>
              <w:bottom w:val="single" w:color="auto" w:sz="4" w:space="0"/>
              <w:right w:val="single" w:color="auto" w:sz="4" w:space="0"/>
            </w:tcBorders>
            <w:shd w:val="clear" w:color="auto" w:fill="auto"/>
            <w:vAlign w:val="center"/>
          </w:tcPr>
          <w:p w14:paraId="47DE6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84" w:type="dxa"/>
            <w:gridSpan w:val="3"/>
            <w:tcBorders>
              <w:top w:val="single" w:color="auto" w:sz="4" w:space="0"/>
              <w:left w:val="nil"/>
              <w:bottom w:val="single" w:color="auto" w:sz="4" w:space="0"/>
              <w:right w:val="single" w:color="auto" w:sz="4" w:space="0"/>
            </w:tcBorders>
            <w:shd w:val="clear" w:color="auto" w:fill="auto"/>
            <w:noWrap/>
            <w:vAlign w:val="center"/>
          </w:tcPr>
          <w:p w14:paraId="39C1D0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10" w:type="dxa"/>
            <w:tcBorders>
              <w:top w:val="nil"/>
              <w:left w:val="nil"/>
              <w:bottom w:val="single" w:color="auto" w:sz="4" w:space="0"/>
              <w:right w:val="single" w:color="auto" w:sz="4" w:space="0"/>
            </w:tcBorders>
            <w:shd w:val="clear" w:color="auto" w:fill="auto"/>
            <w:vAlign w:val="center"/>
          </w:tcPr>
          <w:p w14:paraId="5B697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89" w:type="dxa"/>
            <w:tcBorders>
              <w:top w:val="nil"/>
              <w:left w:val="nil"/>
              <w:bottom w:val="single" w:color="auto" w:sz="4" w:space="0"/>
              <w:right w:val="single" w:color="auto" w:sz="4" w:space="0"/>
            </w:tcBorders>
            <w:shd w:val="clear" w:color="auto" w:fill="auto"/>
            <w:vAlign w:val="center"/>
          </w:tcPr>
          <w:p w14:paraId="78447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74916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926D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2DF65F2">
            <w:pPr>
              <w:widowControl/>
              <w:jc w:val="center"/>
              <w:rPr>
                <w:rFonts w:hint="eastAsia" w:ascii="宋体" w:hAnsi="宋体" w:cs="宋体"/>
                <w:color w:val="000000"/>
                <w:kern w:val="0"/>
                <w:sz w:val="20"/>
                <w:szCs w:val="20"/>
              </w:rPr>
            </w:pPr>
          </w:p>
        </w:tc>
      </w:tr>
      <w:tr w14:paraId="2A2276CD">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DDA3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18230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1F2C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A0BDD1E">
            <w:pPr>
              <w:widowControl/>
              <w:jc w:val="center"/>
              <w:rPr>
                <w:rFonts w:hint="eastAsia" w:ascii="宋体" w:hAnsi="宋体" w:cs="宋体"/>
                <w:color w:val="000000"/>
                <w:kern w:val="0"/>
                <w:sz w:val="20"/>
                <w:szCs w:val="20"/>
              </w:rPr>
            </w:pPr>
          </w:p>
        </w:tc>
      </w:tr>
    </w:tbl>
    <w:p w14:paraId="59537AF3">
      <w:pPr>
        <w:ind w:firstLine="643" w:firstLineChars="200"/>
        <w:jc w:val="left"/>
        <w:rPr>
          <w:rFonts w:hint="eastAsia" w:ascii="仿宋_GB2312" w:hAnsi="仿宋_GB2312" w:eastAsia="仿宋_GB2312" w:cs="仿宋_GB2312"/>
          <w:b/>
          <w:bCs/>
          <w:kern w:val="0"/>
          <w:sz w:val="32"/>
          <w:szCs w:val="32"/>
        </w:rPr>
      </w:pPr>
    </w:p>
    <w:tbl>
      <w:tblPr>
        <w:tblStyle w:val="9"/>
        <w:tblW w:w="4869" w:type="pct"/>
        <w:jc w:val="center"/>
        <w:tblLayout w:type="autofit"/>
        <w:tblCellMar>
          <w:top w:w="0" w:type="dxa"/>
          <w:left w:w="108" w:type="dxa"/>
          <w:bottom w:w="0" w:type="dxa"/>
          <w:right w:w="108" w:type="dxa"/>
        </w:tblCellMar>
      </w:tblPr>
      <w:tblGrid>
        <w:gridCol w:w="489"/>
        <w:gridCol w:w="894"/>
        <w:gridCol w:w="992"/>
        <w:gridCol w:w="196"/>
        <w:gridCol w:w="900"/>
        <w:gridCol w:w="559"/>
        <w:gridCol w:w="886"/>
        <w:gridCol w:w="780"/>
        <w:gridCol w:w="242"/>
        <w:gridCol w:w="402"/>
        <w:gridCol w:w="255"/>
        <w:gridCol w:w="557"/>
        <w:gridCol w:w="396"/>
        <w:gridCol w:w="751"/>
      </w:tblGrid>
      <w:tr w14:paraId="5A0ACB6D">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E4D643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C430B3E">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B2B03F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46EAC4CC">
        <w:tblPrEx>
          <w:tblCellMar>
            <w:top w:w="0" w:type="dxa"/>
            <w:left w:w="108" w:type="dxa"/>
            <w:bottom w:w="0" w:type="dxa"/>
            <w:right w:w="108" w:type="dxa"/>
          </w:tblCellMar>
        </w:tblPrEx>
        <w:trPr>
          <w:trHeight w:val="288" w:hRule="atLeast"/>
          <w:jc w:val="center"/>
        </w:trPr>
        <w:tc>
          <w:tcPr>
            <w:tcW w:w="13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132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6916" w:type="dxa"/>
            <w:gridSpan w:val="12"/>
            <w:tcBorders>
              <w:top w:val="single" w:color="auto" w:sz="4" w:space="0"/>
              <w:left w:val="nil"/>
              <w:bottom w:val="single" w:color="auto" w:sz="4" w:space="0"/>
              <w:right w:val="single" w:color="auto" w:sz="4" w:space="0"/>
            </w:tcBorders>
            <w:shd w:val="clear" w:color="auto" w:fill="auto"/>
            <w:vAlign w:val="center"/>
          </w:tcPr>
          <w:p w14:paraId="712C2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食品快检车使用的试剂、检测费、车辆运行保障</w:t>
            </w:r>
          </w:p>
        </w:tc>
      </w:tr>
      <w:tr w14:paraId="7C05EAE2">
        <w:tblPrEx>
          <w:tblCellMar>
            <w:top w:w="0" w:type="dxa"/>
            <w:left w:w="108" w:type="dxa"/>
            <w:bottom w:w="0" w:type="dxa"/>
            <w:right w:w="108" w:type="dxa"/>
          </w:tblCellMar>
        </w:tblPrEx>
        <w:trPr>
          <w:trHeight w:val="288" w:hRule="atLeast"/>
          <w:jc w:val="center"/>
        </w:trPr>
        <w:tc>
          <w:tcPr>
            <w:tcW w:w="13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8CA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33" w:type="dxa"/>
            <w:gridSpan w:val="5"/>
            <w:tcBorders>
              <w:top w:val="single" w:color="auto" w:sz="4" w:space="0"/>
              <w:left w:val="nil"/>
              <w:bottom w:val="single" w:color="auto" w:sz="4" w:space="0"/>
              <w:right w:val="single" w:color="auto" w:sz="4" w:space="0"/>
            </w:tcBorders>
            <w:shd w:val="clear" w:color="auto" w:fill="auto"/>
            <w:vAlign w:val="center"/>
          </w:tcPr>
          <w:p w14:paraId="2B1FE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木垒哈萨克自治县市场监督管理局</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1A44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15C9D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木垒哈萨克自治县市场监督管理局</w:t>
            </w:r>
          </w:p>
        </w:tc>
      </w:tr>
      <w:tr w14:paraId="27ECFC21">
        <w:tblPrEx>
          <w:tblCellMar>
            <w:top w:w="0" w:type="dxa"/>
            <w:left w:w="108" w:type="dxa"/>
            <w:bottom w:w="0" w:type="dxa"/>
            <w:right w:w="108" w:type="dxa"/>
          </w:tblCellMar>
        </w:tblPrEx>
        <w:trPr>
          <w:trHeight w:val="480" w:hRule="atLeast"/>
          <w:jc w:val="center"/>
        </w:trPr>
        <w:tc>
          <w:tcPr>
            <w:tcW w:w="13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10C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41B2720E">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75CE5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6E43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C40C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B2E8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2281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76BF6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A0CAE23">
        <w:tblPrEx>
          <w:tblCellMar>
            <w:top w:w="0" w:type="dxa"/>
            <w:left w:w="108" w:type="dxa"/>
            <w:bottom w:w="0" w:type="dxa"/>
            <w:right w:w="108" w:type="dxa"/>
          </w:tblCellMar>
        </w:tblPrEx>
        <w:trPr>
          <w:trHeight w:val="441" w:hRule="atLeast"/>
          <w:jc w:val="center"/>
        </w:trPr>
        <w:tc>
          <w:tcPr>
            <w:tcW w:w="1383" w:type="dxa"/>
            <w:gridSpan w:val="2"/>
            <w:vMerge w:val="continue"/>
            <w:tcBorders>
              <w:top w:val="single" w:color="auto" w:sz="4" w:space="0"/>
              <w:left w:val="single" w:color="auto" w:sz="4" w:space="0"/>
              <w:bottom w:val="single" w:color="auto" w:sz="4" w:space="0"/>
              <w:right w:val="single" w:color="auto" w:sz="4" w:space="0"/>
            </w:tcBorders>
            <w:vAlign w:val="center"/>
          </w:tcPr>
          <w:p w14:paraId="49915162">
            <w:pPr>
              <w:widowControl/>
              <w:jc w:val="left"/>
              <w:rPr>
                <w:rFonts w:hint="eastAsia" w:ascii="宋体" w:hAnsi="宋体" w:cs="宋体"/>
                <w:color w:val="000000"/>
                <w:kern w:val="0"/>
                <w:sz w:val="20"/>
                <w:szCs w:val="20"/>
              </w:rPr>
            </w:pP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66EBF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064E7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ABAA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4CAF5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9277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A8C4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63B2B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90B89A5">
        <w:tblPrEx>
          <w:tblCellMar>
            <w:top w:w="0" w:type="dxa"/>
            <w:left w:w="108" w:type="dxa"/>
            <w:bottom w:w="0" w:type="dxa"/>
            <w:right w:w="108" w:type="dxa"/>
          </w:tblCellMar>
        </w:tblPrEx>
        <w:trPr>
          <w:trHeight w:val="441" w:hRule="atLeast"/>
          <w:jc w:val="center"/>
        </w:trPr>
        <w:tc>
          <w:tcPr>
            <w:tcW w:w="1383" w:type="dxa"/>
            <w:gridSpan w:val="2"/>
            <w:vMerge w:val="continue"/>
            <w:tcBorders>
              <w:top w:val="single" w:color="auto" w:sz="4" w:space="0"/>
              <w:left w:val="single" w:color="auto" w:sz="4" w:space="0"/>
              <w:bottom w:val="single" w:color="auto" w:sz="4" w:space="0"/>
              <w:right w:val="single" w:color="auto" w:sz="4" w:space="0"/>
            </w:tcBorders>
            <w:vAlign w:val="center"/>
          </w:tcPr>
          <w:p w14:paraId="3381664F">
            <w:pPr>
              <w:widowControl/>
              <w:jc w:val="left"/>
              <w:rPr>
                <w:rFonts w:hint="eastAsia" w:ascii="宋体" w:hAnsi="宋体" w:cs="宋体"/>
                <w:color w:val="000000"/>
                <w:kern w:val="0"/>
                <w:sz w:val="20"/>
                <w:szCs w:val="20"/>
              </w:rPr>
            </w:pP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063EA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2C7D2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99C0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16B4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AE6C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3BF0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2329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A409B8E">
        <w:tblPrEx>
          <w:tblCellMar>
            <w:top w:w="0" w:type="dxa"/>
            <w:left w:w="108" w:type="dxa"/>
            <w:bottom w:w="0" w:type="dxa"/>
            <w:right w:w="108" w:type="dxa"/>
          </w:tblCellMar>
        </w:tblPrEx>
        <w:trPr>
          <w:trHeight w:val="441" w:hRule="atLeast"/>
          <w:jc w:val="center"/>
        </w:trPr>
        <w:tc>
          <w:tcPr>
            <w:tcW w:w="1383" w:type="dxa"/>
            <w:gridSpan w:val="2"/>
            <w:vMerge w:val="continue"/>
            <w:tcBorders>
              <w:top w:val="single" w:color="auto" w:sz="4" w:space="0"/>
              <w:left w:val="single" w:color="auto" w:sz="4" w:space="0"/>
              <w:bottom w:val="single" w:color="auto" w:sz="4" w:space="0"/>
              <w:right w:val="single" w:color="auto" w:sz="4" w:space="0"/>
            </w:tcBorders>
            <w:vAlign w:val="center"/>
          </w:tcPr>
          <w:p w14:paraId="5A7F6CFA">
            <w:pPr>
              <w:widowControl/>
              <w:jc w:val="left"/>
              <w:rPr>
                <w:rFonts w:hint="eastAsia" w:ascii="宋体" w:hAnsi="宋体" w:cs="宋体"/>
                <w:color w:val="000000"/>
                <w:kern w:val="0"/>
                <w:sz w:val="20"/>
                <w:szCs w:val="20"/>
              </w:rPr>
            </w:pP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65849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2B316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218C8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26FDE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5E14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F556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B183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6E700B8">
        <w:tblPrEx>
          <w:tblCellMar>
            <w:top w:w="0" w:type="dxa"/>
            <w:left w:w="108" w:type="dxa"/>
            <w:bottom w:w="0" w:type="dxa"/>
            <w:right w:w="108" w:type="dxa"/>
          </w:tblCellMar>
        </w:tblPrEx>
        <w:trPr>
          <w:trHeight w:val="288" w:hRule="atLeast"/>
          <w:jc w:val="center"/>
        </w:trPr>
        <w:tc>
          <w:tcPr>
            <w:tcW w:w="489" w:type="dxa"/>
            <w:vMerge w:val="restart"/>
            <w:tcBorders>
              <w:top w:val="nil"/>
              <w:left w:val="single" w:color="auto" w:sz="4" w:space="0"/>
              <w:bottom w:val="single" w:color="auto" w:sz="4" w:space="0"/>
              <w:right w:val="single" w:color="auto" w:sz="4" w:space="0"/>
            </w:tcBorders>
            <w:shd w:val="clear" w:color="auto" w:fill="auto"/>
            <w:vAlign w:val="center"/>
          </w:tcPr>
          <w:p w14:paraId="3B9C6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7A66E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58614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839A0B7">
        <w:tblPrEx>
          <w:tblCellMar>
            <w:top w:w="0" w:type="dxa"/>
            <w:left w:w="108" w:type="dxa"/>
            <w:bottom w:w="0" w:type="dxa"/>
            <w:right w:w="108" w:type="dxa"/>
          </w:tblCellMar>
        </w:tblPrEx>
        <w:trPr>
          <w:trHeight w:val="540" w:hRule="atLeast"/>
          <w:jc w:val="center"/>
        </w:trPr>
        <w:tc>
          <w:tcPr>
            <w:tcW w:w="489" w:type="dxa"/>
            <w:vMerge w:val="continue"/>
            <w:tcBorders>
              <w:top w:val="nil"/>
              <w:left w:val="single" w:color="auto" w:sz="4" w:space="0"/>
              <w:bottom w:val="single" w:color="auto" w:sz="4" w:space="0"/>
              <w:right w:val="single" w:color="auto" w:sz="4" w:space="0"/>
            </w:tcBorders>
            <w:vAlign w:val="center"/>
          </w:tcPr>
          <w:p w14:paraId="0713542F">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0B9151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为全面贯彻落实全国食安办主任视频会议精神，保障食品快检车使用的试剂、检测费、车辆运行正常，进一步维护老百姓舌尖上的安全，不断提高食品安全监管能力。</w:t>
            </w:r>
          </w:p>
        </w:tc>
        <w:tc>
          <w:tcPr>
            <w:tcW w:w="3383" w:type="dxa"/>
            <w:gridSpan w:val="7"/>
            <w:tcBorders>
              <w:top w:val="single" w:color="auto" w:sz="4" w:space="0"/>
              <w:left w:val="nil"/>
              <w:bottom w:val="single" w:color="auto" w:sz="4" w:space="0"/>
              <w:right w:val="single" w:color="auto" w:sz="4" w:space="0"/>
            </w:tcBorders>
            <w:shd w:val="clear" w:color="auto" w:fill="auto"/>
          </w:tcPr>
          <w:p w14:paraId="60F1D3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截止本项目完成时限，我单位针对本项目已完成如下工作：保障食品快检车数量1辆，县域内食品行业监管次数120次，进一步维护了老百姓舌尖上的安全，不断提高了食品安全监管能力。</w:t>
            </w:r>
          </w:p>
        </w:tc>
      </w:tr>
      <w:tr w14:paraId="547FFE4D">
        <w:tblPrEx>
          <w:tblCellMar>
            <w:top w:w="0" w:type="dxa"/>
            <w:left w:w="108" w:type="dxa"/>
            <w:bottom w:w="0" w:type="dxa"/>
            <w:right w:w="108" w:type="dxa"/>
          </w:tblCellMar>
        </w:tblPrEx>
        <w:trPr>
          <w:trHeight w:val="312" w:hRule="atLeast"/>
          <w:jc w:val="center"/>
        </w:trPr>
        <w:tc>
          <w:tcPr>
            <w:tcW w:w="489" w:type="dxa"/>
            <w:vMerge w:val="restart"/>
            <w:tcBorders>
              <w:top w:val="nil"/>
              <w:left w:val="single" w:color="auto" w:sz="4" w:space="0"/>
              <w:bottom w:val="single" w:color="auto" w:sz="4" w:space="0"/>
              <w:right w:val="single" w:color="auto" w:sz="4" w:space="0"/>
            </w:tcBorders>
            <w:shd w:val="clear" w:color="auto" w:fill="auto"/>
            <w:vAlign w:val="center"/>
          </w:tcPr>
          <w:p w14:paraId="15D758E9">
            <w:pPr>
              <w:widowControl/>
              <w:jc w:val="center"/>
              <w:rPr>
                <w:rFonts w:hint="eastAsia" w:ascii="宋体" w:hAnsi="宋体" w:cs="宋体"/>
                <w:color w:val="000000"/>
                <w:kern w:val="0"/>
                <w:sz w:val="20"/>
                <w:szCs w:val="20"/>
              </w:rPr>
            </w:pPr>
          </w:p>
        </w:tc>
        <w:tc>
          <w:tcPr>
            <w:tcW w:w="894" w:type="dxa"/>
            <w:vMerge w:val="restart"/>
            <w:tcBorders>
              <w:top w:val="nil"/>
              <w:left w:val="single" w:color="auto" w:sz="4" w:space="0"/>
              <w:bottom w:val="single" w:color="auto" w:sz="4" w:space="0"/>
              <w:right w:val="single" w:color="auto" w:sz="4" w:space="0"/>
            </w:tcBorders>
            <w:shd w:val="clear" w:color="auto" w:fill="auto"/>
            <w:vAlign w:val="center"/>
          </w:tcPr>
          <w:p w14:paraId="017AA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92" w:type="dxa"/>
            <w:vMerge w:val="restart"/>
            <w:tcBorders>
              <w:top w:val="nil"/>
              <w:left w:val="single" w:color="auto" w:sz="4" w:space="0"/>
              <w:bottom w:val="single" w:color="auto" w:sz="4" w:space="0"/>
              <w:right w:val="single" w:color="auto" w:sz="4" w:space="0"/>
            </w:tcBorders>
            <w:shd w:val="clear" w:color="auto" w:fill="auto"/>
            <w:vAlign w:val="center"/>
          </w:tcPr>
          <w:p w14:paraId="58706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8C3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20234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04DCE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B9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D4E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855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B356E9">
        <w:tblPrEx>
          <w:tblCellMar>
            <w:top w:w="0" w:type="dxa"/>
            <w:left w:w="108" w:type="dxa"/>
            <w:bottom w:w="0" w:type="dxa"/>
            <w:right w:w="108" w:type="dxa"/>
          </w:tblCellMar>
        </w:tblPrEx>
        <w:trPr>
          <w:trHeight w:val="312" w:hRule="atLeast"/>
          <w:jc w:val="center"/>
        </w:trPr>
        <w:tc>
          <w:tcPr>
            <w:tcW w:w="489" w:type="dxa"/>
            <w:vMerge w:val="continue"/>
            <w:tcBorders>
              <w:top w:val="nil"/>
              <w:left w:val="single" w:color="auto" w:sz="4" w:space="0"/>
              <w:bottom w:val="single" w:color="auto" w:sz="4" w:space="0"/>
              <w:right w:val="single" w:color="auto" w:sz="4" w:space="0"/>
            </w:tcBorders>
            <w:vAlign w:val="center"/>
          </w:tcPr>
          <w:p w14:paraId="4D4BB400">
            <w:pPr>
              <w:widowControl/>
              <w:jc w:val="left"/>
              <w:rPr>
                <w:rFonts w:hint="eastAsia" w:ascii="宋体" w:hAnsi="宋体" w:cs="宋体"/>
                <w:color w:val="000000"/>
                <w:kern w:val="0"/>
                <w:sz w:val="20"/>
                <w:szCs w:val="20"/>
              </w:rPr>
            </w:pPr>
          </w:p>
        </w:tc>
        <w:tc>
          <w:tcPr>
            <w:tcW w:w="894" w:type="dxa"/>
            <w:vMerge w:val="continue"/>
            <w:tcBorders>
              <w:top w:val="nil"/>
              <w:left w:val="single" w:color="auto" w:sz="4" w:space="0"/>
              <w:bottom w:val="single" w:color="auto" w:sz="4" w:space="0"/>
              <w:right w:val="single" w:color="auto" w:sz="4" w:space="0"/>
            </w:tcBorders>
            <w:vAlign w:val="center"/>
          </w:tcPr>
          <w:p w14:paraId="6C4550A5">
            <w:pPr>
              <w:widowControl/>
              <w:jc w:val="left"/>
              <w:rPr>
                <w:rFonts w:hint="eastAsia" w:ascii="宋体" w:hAnsi="宋体" w:cs="宋体"/>
                <w:color w:val="000000"/>
                <w:kern w:val="0"/>
                <w:sz w:val="20"/>
                <w:szCs w:val="20"/>
              </w:rPr>
            </w:pPr>
          </w:p>
        </w:tc>
        <w:tc>
          <w:tcPr>
            <w:tcW w:w="992" w:type="dxa"/>
            <w:vMerge w:val="continue"/>
            <w:tcBorders>
              <w:top w:val="nil"/>
              <w:left w:val="single" w:color="auto" w:sz="4" w:space="0"/>
              <w:bottom w:val="single" w:color="auto" w:sz="4" w:space="0"/>
              <w:right w:val="single" w:color="auto" w:sz="4" w:space="0"/>
            </w:tcBorders>
            <w:vAlign w:val="center"/>
          </w:tcPr>
          <w:p w14:paraId="3A33B251">
            <w:pPr>
              <w:widowControl/>
              <w:jc w:val="left"/>
              <w:rPr>
                <w:rFonts w:hint="eastAsia" w:ascii="宋体" w:hAnsi="宋体" w:cs="宋体"/>
                <w:color w:val="000000"/>
                <w:kern w:val="0"/>
                <w:sz w:val="20"/>
                <w:szCs w:val="20"/>
              </w:rPr>
            </w:pPr>
          </w:p>
        </w:tc>
        <w:tc>
          <w:tcPr>
            <w:tcW w:w="1655" w:type="dxa"/>
            <w:gridSpan w:val="3"/>
            <w:vMerge w:val="continue"/>
            <w:tcBorders>
              <w:top w:val="single" w:color="auto" w:sz="4" w:space="0"/>
              <w:left w:val="single" w:color="auto" w:sz="4" w:space="0"/>
              <w:bottom w:val="single" w:color="auto" w:sz="4" w:space="0"/>
              <w:right w:val="single" w:color="auto" w:sz="4" w:space="0"/>
            </w:tcBorders>
            <w:vAlign w:val="center"/>
          </w:tcPr>
          <w:p w14:paraId="6C4CA850">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53E1EB90">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1D16DFBC">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119202C5">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29810062">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54F867A6">
            <w:pPr>
              <w:widowControl/>
              <w:jc w:val="left"/>
              <w:rPr>
                <w:rFonts w:hint="eastAsia" w:ascii="宋体" w:hAnsi="宋体" w:cs="宋体"/>
                <w:color w:val="000000"/>
                <w:kern w:val="0"/>
                <w:sz w:val="20"/>
                <w:szCs w:val="20"/>
              </w:rPr>
            </w:pPr>
          </w:p>
        </w:tc>
      </w:tr>
      <w:tr w14:paraId="4DB10758">
        <w:tblPrEx>
          <w:tblCellMar>
            <w:top w:w="0" w:type="dxa"/>
            <w:left w:w="108" w:type="dxa"/>
            <w:bottom w:w="0" w:type="dxa"/>
            <w:right w:w="108" w:type="dxa"/>
          </w:tblCellMar>
        </w:tblPrEx>
        <w:trPr>
          <w:trHeight w:val="399" w:hRule="atLeast"/>
          <w:jc w:val="center"/>
        </w:trPr>
        <w:tc>
          <w:tcPr>
            <w:tcW w:w="489" w:type="dxa"/>
            <w:vMerge w:val="restart"/>
            <w:tcBorders>
              <w:top w:val="nil"/>
              <w:left w:val="single" w:color="auto" w:sz="4" w:space="0"/>
              <w:bottom w:val="single" w:color="auto" w:sz="4" w:space="0"/>
              <w:right w:val="single" w:color="auto" w:sz="4" w:space="0"/>
            </w:tcBorders>
            <w:shd w:val="clear" w:color="auto" w:fill="auto"/>
            <w:vAlign w:val="center"/>
          </w:tcPr>
          <w:p w14:paraId="6F19E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894" w:type="dxa"/>
            <w:vMerge w:val="restart"/>
            <w:tcBorders>
              <w:top w:val="nil"/>
              <w:left w:val="single" w:color="auto" w:sz="4" w:space="0"/>
              <w:bottom w:val="single" w:color="auto" w:sz="4" w:space="0"/>
              <w:right w:val="single" w:color="auto" w:sz="4" w:space="0"/>
            </w:tcBorders>
            <w:shd w:val="clear" w:color="auto" w:fill="auto"/>
            <w:vAlign w:val="center"/>
          </w:tcPr>
          <w:p w14:paraId="4FCD8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92" w:type="dxa"/>
            <w:tcBorders>
              <w:top w:val="nil"/>
              <w:left w:val="nil"/>
              <w:bottom w:val="single" w:color="auto" w:sz="4" w:space="0"/>
              <w:right w:val="single" w:color="auto" w:sz="4" w:space="0"/>
            </w:tcBorders>
            <w:shd w:val="clear" w:color="auto" w:fill="auto"/>
            <w:vAlign w:val="center"/>
          </w:tcPr>
          <w:p w14:paraId="1C084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05EABE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保障食品快检车数量</w:t>
            </w:r>
          </w:p>
        </w:tc>
        <w:tc>
          <w:tcPr>
            <w:tcW w:w="886" w:type="dxa"/>
            <w:tcBorders>
              <w:top w:val="nil"/>
              <w:left w:val="nil"/>
              <w:bottom w:val="single" w:color="auto" w:sz="4" w:space="0"/>
              <w:right w:val="single" w:color="auto" w:sz="4" w:space="0"/>
            </w:tcBorders>
            <w:shd w:val="clear" w:color="auto" w:fill="auto"/>
            <w:vAlign w:val="center"/>
          </w:tcPr>
          <w:p w14:paraId="199FA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780" w:type="dxa"/>
            <w:tcBorders>
              <w:top w:val="nil"/>
              <w:left w:val="nil"/>
              <w:bottom w:val="single" w:color="auto" w:sz="4" w:space="0"/>
              <w:right w:val="single" w:color="auto" w:sz="4" w:space="0"/>
            </w:tcBorders>
            <w:shd w:val="clear" w:color="auto" w:fill="auto"/>
            <w:vAlign w:val="center"/>
          </w:tcPr>
          <w:p w14:paraId="1DF0B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6764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3AC1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D3E0199">
            <w:pPr>
              <w:widowControl/>
              <w:jc w:val="center"/>
              <w:rPr>
                <w:rFonts w:hint="eastAsia" w:ascii="宋体" w:hAnsi="宋体" w:cs="宋体"/>
                <w:color w:val="000000"/>
                <w:kern w:val="0"/>
                <w:sz w:val="20"/>
                <w:szCs w:val="20"/>
              </w:rPr>
            </w:pPr>
          </w:p>
        </w:tc>
      </w:tr>
      <w:tr w14:paraId="792AF45E">
        <w:tblPrEx>
          <w:tblCellMar>
            <w:top w:w="0" w:type="dxa"/>
            <w:left w:w="108" w:type="dxa"/>
            <w:bottom w:w="0" w:type="dxa"/>
            <w:right w:w="108" w:type="dxa"/>
          </w:tblCellMar>
        </w:tblPrEx>
        <w:trPr>
          <w:trHeight w:val="399" w:hRule="atLeast"/>
          <w:jc w:val="center"/>
        </w:trPr>
        <w:tc>
          <w:tcPr>
            <w:tcW w:w="489" w:type="dxa"/>
            <w:vMerge w:val="continue"/>
            <w:tcBorders>
              <w:top w:val="nil"/>
              <w:left w:val="single" w:color="auto" w:sz="4" w:space="0"/>
              <w:bottom w:val="single" w:color="auto" w:sz="4" w:space="0"/>
              <w:right w:val="single" w:color="auto" w:sz="4" w:space="0"/>
            </w:tcBorders>
            <w:vAlign w:val="center"/>
          </w:tcPr>
          <w:p w14:paraId="1B739051">
            <w:pPr>
              <w:widowControl/>
              <w:jc w:val="left"/>
              <w:rPr>
                <w:rFonts w:hint="eastAsia" w:ascii="宋体" w:hAnsi="宋体" w:cs="宋体"/>
                <w:color w:val="000000"/>
                <w:kern w:val="0"/>
                <w:sz w:val="20"/>
                <w:szCs w:val="20"/>
              </w:rPr>
            </w:pPr>
          </w:p>
        </w:tc>
        <w:tc>
          <w:tcPr>
            <w:tcW w:w="894" w:type="dxa"/>
            <w:vMerge w:val="continue"/>
            <w:tcBorders>
              <w:top w:val="nil"/>
              <w:left w:val="single" w:color="auto" w:sz="4" w:space="0"/>
              <w:bottom w:val="single" w:color="auto" w:sz="4" w:space="0"/>
              <w:right w:val="single" w:color="auto" w:sz="4" w:space="0"/>
            </w:tcBorders>
            <w:vAlign w:val="center"/>
          </w:tcPr>
          <w:p w14:paraId="3B7422A2">
            <w:pPr>
              <w:widowControl/>
              <w:jc w:val="left"/>
              <w:rPr>
                <w:rFonts w:hint="eastAsia" w:ascii="宋体" w:hAnsi="宋体" w:cs="宋体"/>
                <w:color w:val="000000"/>
                <w:kern w:val="0"/>
                <w:sz w:val="20"/>
                <w:szCs w:val="20"/>
              </w:rPr>
            </w:pPr>
          </w:p>
        </w:tc>
        <w:tc>
          <w:tcPr>
            <w:tcW w:w="992" w:type="dxa"/>
            <w:tcBorders>
              <w:top w:val="nil"/>
              <w:left w:val="nil"/>
              <w:bottom w:val="single" w:color="auto" w:sz="4" w:space="0"/>
              <w:right w:val="single" w:color="auto" w:sz="4" w:space="0"/>
            </w:tcBorders>
            <w:shd w:val="clear" w:color="auto" w:fill="auto"/>
            <w:vAlign w:val="center"/>
          </w:tcPr>
          <w:p w14:paraId="71616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406B0F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县域内食品行业监管次数</w:t>
            </w:r>
          </w:p>
        </w:tc>
        <w:tc>
          <w:tcPr>
            <w:tcW w:w="886" w:type="dxa"/>
            <w:tcBorders>
              <w:top w:val="nil"/>
              <w:left w:val="nil"/>
              <w:bottom w:val="single" w:color="auto" w:sz="4" w:space="0"/>
              <w:right w:val="single" w:color="auto" w:sz="4" w:space="0"/>
            </w:tcBorders>
            <w:shd w:val="clear" w:color="auto" w:fill="auto"/>
            <w:vAlign w:val="center"/>
          </w:tcPr>
          <w:p w14:paraId="663D9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&gt;=120次</w:t>
            </w:r>
          </w:p>
        </w:tc>
        <w:tc>
          <w:tcPr>
            <w:tcW w:w="780" w:type="dxa"/>
            <w:tcBorders>
              <w:top w:val="nil"/>
              <w:left w:val="nil"/>
              <w:bottom w:val="single" w:color="auto" w:sz="4" w:space="0"/>
              <w:right w:val="single" w:color="auto" w:sz="4" w:space="0"/>
            </w:tcBorders>
            <w:shd w:val="clear" w:color="auto" w:fill="auto"/>
            <w:vAlign w:val="center"/>
          </w:tcPr>
          <w:p w14:paraId="645F0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DB2B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C2AB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E7B2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04C705F8">
        <w:tblPrEx>
          <w:tblCellMar>
            <w:top w:w="0" w:type="dxa"/>
            <w:left w:w="108" w:type="dxa"/>
            <w:bottom w:w="0" w:type="dxa"/>
            <w:right w:w="108" w:type="dxa"/>
          </w:tblCellMar>
        </w:tblPrEx>
        <w:trPr>
          <w:trHeight w:val="399" w:hRule="atLeast"/>
          <w:jc w:val="center"/>
        </w:trPr>
        <w:tc>
          <w:tcPr>
            <w:tcW w:w="489" w:type="dxa"/>
            <w:vMerge w:val="continue"/>
            <w:tcBorders>
              <w:top w:val="nil"/>
              <w:left w:val="single" w:color="auto" w:sz="4" w:space="0"/>
              <w:bottom w:val="single" w:color="auto" w:sz="4" w:space="0"/>
              <w:right w:val="single" w:color="auto" w:sz="4" w:space="0"/>
            </w:tcBorders>
            <w:vAlign w:val="center"/>
          </w:tcPr>
          <w:p w14:paraId="7FEDB33B">
            <w:pPr>
              <w:widowControl/>
              <w:jc w:val="left"/>
              <w:rPr>
                <w:rFonts w:hint="eastAsia" w:ascii="宋体" w:hAnsi="宋体" w:cs="宋体"/>
                <w:color w:val="000000"/>
                <w:kern w:val="0"/>
                <w:sz w:val="20"/>
                <w:szCs w:val="20"/>
              </w:rPr>
            </w:pPr>
          </w:p>
        </w:tc>
        <w:tc>
          <w:tcPr>
            <w:tcW w:w="894" w:type="dxa"/>
            <w:vMerge w:val="continue"/>
            <w:tcBorders>
              <w:top w:val="nil"/>
              <w:left w:val="single" w:color="auto" w:sz="4" w:space="0"/>
              <w:bottom w:val="single" w:color="auto" w:sz="4" w:space="0"/>
              <w:right w:val="single" w:color="auto" w:sz="4" w:space="0"/>
            </w:tcBorders>
            <w:vAlign w:val="center"/>
          </w:tcPr>
          <w:p w14:paraId="5D01CCA7">
            <w:pPr>
              <w:widowControl/>
              <w:jc w:val="left"/>
              <w:rPr>
                <w:rFonts w:hint="eastAsia" w:ascii="宋体" w:hAnsi="宋体" w:cs="宋体"/>
                <w:color w:val="000000"/>
                <w:kern w:val="0"/>
                <w:sz w:val="20"/>
                <w:szCs w:val="20"/>
              </w:rPr>
            </w:pPr>
          </w:p>
        </w:tc>
        <w:tc>
          <w:tcPr>
            <w:tcW w:w="992" w:type="dxa"/>
            <w:tcBorders>
              <w:top w:val="nil"/>
              <w:left w:val="nil"/>
              <w:bottom w:val="single" w:color="auto" w:sz="4" w:space="0"/>
              <w:right w:val="single" w:color="auto" w:sz="4" w:space="0"/>
            </w:tcBorders>
            <w:shd w:val="clear" w:color="auto" w:fill="auto"/>
            <w:vAlign w:val="center"/>
          </w:tcPr>
          <w:p w14:paraId="29150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26474B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食品快检车运行保障率</w:t>
            </w:r>
          </w:p>
        </w:tc>
        <w:tc>
          <w:tcPr>
            <w:tcW w:w="886" w:type="dxa"/>
            <w:tcBorders>
              <w:top w:val="nil"/>
              <w:left w:val="nil"/>
              <w:bottom w:val="single" w:color="auto" w:sz="4" w:space="0"/>
              <w:right w:val="single" w:color="auto" w:sz="4" w:space="0"/>
            </w:tcBorders>
            <w:shd w:val="clear" w:color="auto" w:fill="auto"/>
            <w:vAlign w:val="center"/>
          </w:tcPr>
          <w:p w14:paraId="183A2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09D10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422E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9875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7AE6064">
            <w:pPr>
              <w:widowControl/>
              <w:jc w:val="center"/>
              <w:rPr>
                <w:rFonts w:hint="eastAsia" w:ascii="宋体" w:hAnsi="宋体" w:cs="宋体"/>
                <w:color w:val="000000"/>
                <w:kern w:val="0"/>
                <w:sz w:val="20"/>
                <w:szCs w:val="20"/>
              </w:rPr>
            </w:pPr>
          </w:p>
        </w:tc>
      </w:tr>
      <w:tr w14:paraId="188E892F">
        <w:tblPrEx>
          <w:tblCellMar>
            <w:top w:w="0" w:type="dxa"/>
            <w:left w:w="108" w:type="dxa"/>
            <w:bottom w:w="0" w:type="dxa"/>
            <w:right w:w="108" w:type="dxa"/>
          </w:tblCellMar>
        </w:tblPrEx>
        <w:trPr>
          <w:trHeight w:val="399" w:hRule="atLeast"/>
          <w:jc w:val="center"/>
        </w:trPr>
        <w:tc>
          <w:tcPr>
            <w:tcW w:w="489" w:type="dxa"/>
            <w:vMerge w:val="continue"/>
            <w:tcBorders>
              <w:top w:val="nil"/>
              <w:left w:val="single" w:color="auto" w:sz="4" w:space="0"/>
              <w:bottom w:val="single" w:color="auto" w:sz="4" w:space="0"/>
              <w:right w:val="single" w:color="auto" w:sz="4" w:space="0"/>
            </w:tcBorders>
            <w:vAlign w:val="center"/>
          </w:tcPr>
          <w:p w14:paraId="623CAFB1">
            <w:pPr>
              <w:widowControl/>
              <w:jc w:val="left"/>
              <w:rPr>
                <w:rFonts w:hint="eastAsia" w:ascii="宋体" w:hAnsi="宋体" w:cs="宋体"/>
                <w:color w:val="000000"/>
                <w:kern w:val="0"/>
                <w:sz w:val="20"/>
                <w:szCs w:val="20"/>
              </w:rPr>
            </w:pPr>
          </w:p>
        </w:tc>
        <w:tc>
          <w:tcPr>
            <w:tcW w:w="894" w:type="dxa"/>
            <w:vMerge w:val="continue"/>
            <w:tcBorders>
              <w:top w:val="nil"/>
              <w:left w:val="single" w:color="auto" w:sz="4" w:space="0"/>
              <w:bottom w:val="single" w:color="auto" w:sz="4" w:space="0"/>
              <w:right w:val="single" w:color="auto" w:sz="4" w:space="0"/>
            </w:tcBorders>
            <w:vAlign w:val="center"/>
          </w:tcPr>
          <w:p w14:paraId="4D2D06C5">
            <w:pPr>
              <w:widowControl/>
              <w:jc w:val="left"/>
              <w:rPr>
                <w:rFonts w:hint="eastAsia" w:ascii="宋体" w:hAnsi="宋体" w:cs="宋体"/>
                <w:color w:val="000000"/>
                <w:kern w:val="0"/>
                <w:sz w:val="20"/>
                <w:szCs w:val="20"/>
              </w:rPr>
            </w:pPr>
          </w:p>
        </w:tc>
        <w:tc>
          <w:tcPr>
            <w:tcW w:w="992" w:type="dxa"/>
            <w:tcBorders>
              <w:top w:val="nil"/>
              <w:left w:val="nil"/>
              <w:bottom w:val="single" w:color="auto" w:sz="4" w:space="0"/>
              <w:right w:val="single" w:color="auto" w:sz="4" w:space="0"/>
            </w:tcBorders>
            <w:shd w:val="clear" w:color="auto" w:fill="auto"/>
            <w:vAlign w:val="center"/>
          </w:tcPr>
          <w:p w14:paraId="53699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158D67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食品快检及时率</w:t>
            </w:r>
          </w:p>
        </w:tc>
        <w:tc>
          <w:tcPr>
            <w:tcW w:w="886" w:type="dxa"/>
            <w:tcBorders>
              <w:top w:val="nil"/>
              <w:left w:val="nil"/>
              <w:bottom w:val="single" w:color="auto" w:sz="4" w:space="0"/>
              <w:right w:val="single" w:color="auto" w:sz="4" w:space="0"/>
            </w:tcBorders>
            <w:shd w:val="clear" w:color="auto" w:fill="auto"/>
            <w:vAlign w:val="center"/>
          </w:tcPr>
          <w:p w14:paraId="6CC83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56F6B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1A7F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3B78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3F99F1B">
            <w:pPr>
              <w:widowControl/>
              <w:jc w:val="center"/>
              <w:rPr>
                <w:rFonts w:hint="eastAsia" w:ascii="宋体" w:hAnsi="宋体" w:cs="宋体"/>
                <w:color w:val="000000"/>
                <w:kern w:val="0"/>
                <w:sz w:val="20"/>
                <w:szCs w:val="20"/>
              </w:rPr>
            </w:pPr>
          </w:p>
        </w:tc>
      </w:tr>
      <w:tr w14:paraId="15CB344B">
        <w:tblPrEx>
          <w:tblCellMar>
            <w:top w:w="0" w:type="dxa"/>
            <w:left w:w="108" w:type="dxa"/>
            <w:bottom w:w="0" w:type="dxa"/>
            <w:right w:w="108" w:type="dxa"/>
          </w:tblCellMar>
        </w:tblPrEx>
        <w:trPr>
          <w:trHeight w:val="399" w:hRule="atLeast"/>
          <w:jc w:val="center"/>
        </w:trPr>
        <w:tc>
          <w:tcPr>
            <w:tcW w:w="489" w:type="dxa"/>
            <w:vMerge w:val="continue"/>
            <w:tcBorders>
              <w:top w:val="nil"/>
              <w:left w:val="single" w:color="auto" w:sz="4" w:space="0"/>
              <w:bottom w:val="single" w:color="auto" w:sz="4" w:space="0"/>
              <w:right w:val="single" w:color="auto" w:sz="4" w:space="0"/>
            </w:tcBorders>
            <w:vAlign w:val="center"/>
          </w:tcPr>
          <w:p w14:paraId="2F318B1E">
            <w:pPr>
              <w:widowControl/>
              <w:jc w:val="left"/>
              <w:rPr>
                <w:rFonts w:hint="eastAsia" w:ascii="宋体" w:hAnsi="宋体" w:cs="宋体"/>
                <w:color w:val="000000"/>
                <w:kern w:val="0"/>
                <w:sz w:val="20"/>
                <w:szCs w:val="20"/>
              </w:rPr>
            </w:pPr>
          </w:p>
        </w:tc>
        <w:tc>
          <w:tcPr>
            <w:tcW w:w="894" w:type="dxa"/>
            <w:vMerge w:val="restart"/>
            <w:tcBorders>
              <w:top w:val="nil"/>
              <w:left w:val="single" w:color="auto" w:sz="4" w:space="0"/>
              <w:bottom w:val="single" w:color="auto" w:sz="4" w:space="0"/>
              <w:right w:val="single" w:color="auto" w:sz="4" w:space="0"/>
            </w:tcBorders>
            <w:shd w:val="clear" w:color="auto" w:fill="auto"/>
            <w:vAlign w:val="center"/>
          </w:tcPr>
          <w:p w14:paraId="1AB2D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92" w:type="dxa"/>
            <w:tcBorders>
              <w:top w:val="nil"/>
              <w:left w:val="nil"/>
              <w:bottom w:val="single" w:color="auto" w:sz="4" w:space="0"/>
              <w:right w:val="single" w:color="auto" w:sz="4" w:space="0"/>
            </w:tcBorders>
            <w:shd w:val="clear" w:color="auto" w:fill="auto"/>
            <w:vAlign w:val="center"/>
          </w:tcPr>
          <w:p w14:paraId="5ACEB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473D99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21436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31FCB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5FC4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947B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ED921AE">
            <w:pPr>
              <w:widowControl/>
              <w:jc w:val="center"/>
              <w:rPr>
                <w:rFonts w:hint="eastAsia" w:ascii="宋体" w:hAnsi="宋体" w:cs="宋体"/>
                <w:color w:val="000000"/>
                <w:kern w:val="0"/>
                <w:sz w:val="20"/>
                <w:szCs w:val="20"/>
              </w:rPr>
            </w:pPr>
          </w:p>
        </w:tc>
      </w:tr>
      <w:tr w14:paraId="5CD2F0C6">
        <w:tblPrEx>
          <w:tblCellMar>
            <w:top w:w="0" w:type="dxa"/>
            <w:left w:w="108" w:type="dxa"/>
            <w:bottom w:w="0" w:type="dxa"/>
            <w:right w:w="108" w:type="dxa"/>
          </w:tblCellMar>
        </w:tblPrEx>
        <w:trPr>
          <w:trHeight w:val="399" w:hRule="atLeast"/>
          <w:jc w:val="center"/>
        </w:trPr>
        <w:tc>
          <w:tcPr>
            <w:tcW w:w="489" w:type="dxa"/>
            <w:vMerge w:val="continue"/>
            <w:tcBorders>
              <w:top w:val="nil"/>
              <w:left w:val="single" w:color="auto" w:sz="4" w:space="0"/>
              <w:bottom w:val="single" w:color="auto" w:sz="4" w:space="0"/>
              <w:right w:val="single" w:color="auto" w:sz="4" w:space="0"/>
            </w:tcBorders>
            <w:vAlign w:val="center"/>
          </w:tcPr>
          <w:p w14:paraId="57929DF2">
            <w:pPr>
              <w:widowControl/>
              <w:jc w:val="left"/>
              <w:rPr>
                <w:rFonts w:hint="eastAsia" w:ascii="宋体" w:hAnsi="宋体" w:cs="宋体"/>
                <w:color w:val="000000"/>
                <w:kern w:val="0"/>
                <w:sz w:val="20"/>
                <w:szCs w:val="20"/>
              </w:rPr>
            </w:pPr>
          </w:p>
        </w:tc>
        <w:tc>
          <w:tcPr>
            <w:tcW w:w="894" w:type="dxa"/>
            <w:vMerge w:val="continue"/>
            <w:tcBorders>
              <w:top w:val="nil"/>
              <w:left w:val="single" w:color="auto" w:sz="4" w:space="0"/>
              <w:bottom w:val="single" w:color="auto" w:sz="4" w:space="0"/>
              <w:right w:val="single" w:color="auto" w:sz="4" w:space="0"/>
            </w:tcBorders>
            <w:vAlign w:val="center"/>
          </w:tcPr>
          <w:p w14:paraId="2EC22674">
            <w:pPr>
              <w:widowControl/>
              <w:jc w:val="left"/>
              <w:rPr>
                <w:rFonts w:hint="eastAsia" w:ascii="宋体" w:hAnsi="宋体" w:cs="宋体"/>
                <w:color w:val="000000"/>
                <w:kern w:val="0"/>
                <w:sz w:val="20"/>
                <w:szCs w:val="20"/>
              </w:rPr>
            </w:pPr>
          </w:p>
        </w:tc>
        <w:tc>
          <w:tcPr>
            <w:tcW w:w="992" w:type="dxa"/>
            <w:tcBorders>
              <w:top w:val="nil"/>
              <w:left w:val="nil"/>
              <w:bottom w:val="single" w:color="auto" w:sz="4" w:space="0"/>
              <w:right w:val="single" w:color="auto" w:sz="4" w:space="0"/>
            </w:tcBorders>
            <w:shd w:val="clear" w:color="auto" w:fill="auto"/>
            <w:vAlign w:val="center"/>
          </w:tcPr>
          <w:p w14:paraId="694A0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58C6CF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食品快检车正常运行率</w:t>
            </w:r>
          </w:p>
        </w:tc>
        <w:tc>
          <w:tcPr>
            <w:tcW w:w="886" w:type="dxa"/>
            <w:tcBorders>
              <w:top w:val="nil"/>
              <w:left w:val="nil"/>
              <w:bottom w:val="single" w:color="auto" w:sz="4" w:space="0"/>
              <w:right w:val="single" w:color="auto" w:sz="4" w:space="0"/>
            </w:tcBorders>
            <w:shd w:val="clear" w:color="auto" w:fill="auto"/>
            <w:vAlign w:val="center"/>
          </w:tcPr>
          <w:p w14:paraId="5E208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208A3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2248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E37A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714369F">
            <w:pPr>
              <w:widowControl/>
              <w:jc w:val="center"/>
              <w:rPr>
                <w:rFonts w:hint="eastAsia" w:ascii="宋体" w:hAnsi="宋体" w:cs="宋体"/>
                <w:color w:val="000000"/>
                <w:kern w:val="0"/>
                <w:sz w:val="20"/>
                <w:szCs w:val="20"/>
              </w:rPr>
            </w:pPr>
          </w:p>
        </w:tc>
      </w:tr>
      <w:tr w14:paraId="3A2CFF8F">
        <w:tblPrEx>
          <w:tblCellMar>
            <w:top w:w="0" w:type="dxa"/>
            <w:left w:w="108" w:type="dxa"/>
            <w:bottom w:w="0" w:type="dxa"/>
            <w:right w:w="108" w:type="dxa"/>
          </w:tblCellMar>
        </w:tblPrEx>
        <w:trPr>
          <w:trHeight w:val="399" w:hRule="atLeast"/>
          <w:jc w:val="center"/>
        </w:trPr>
        <w:tc>
          <w:tcPr>
            <w:tcW w:w="489" w:type="dxa"/>
            <w:vMerge w:val="continue"/>
            <w:tcBorders>
              <w:top w:val="nil"/>
              <w:left w:val="single" w:color="auto" w:sz="4" w:space="0"/>
              <w:bottom w:val="single" w:color="auto" w:sz="4" w:space="0"/>
              <w:right w:val="single" w:color="auto" w:sz="4" w:space="0"/>
            </w:tcBorders>
            <w:vAlign w:val="center"/>
          </w:tcPr>
          <w:p w14:paraId="50994795">
            <w:pPr>
              <w:widowControl/>
              <w:jc w:val="left"/>
              <w:rPr>
                <w:rFonts w:hint="eastAsia" w:ascii="宋体" w:hAnsi="宋体" w:cs="宋体"/>
                <w:color w:val="000000"/>
                <w:kern w:val="0"/>
                <w:sz w:val="20"/>
                <w:szCs w:val="20"/>
              </w:rPr>
            </w:pPr>
          </w:p>
        </w:tc>
        <w:tc>
          <w:tcPr>
            <w:tcW w:w="894" w:type="dxa"/>
            <w:tcBorders>
              <w:top w:val="nil"/>
              <w:left w:val="nil"/>
              <w:bottom w:val="single" w:color="auto" w:sz="4" w:space="0"/>
              <w:right w:val="single" w:color="auto" w:sz="4" w:space="0"/>
            </w:tcBorders>
            <w:shd w:val="clear" w:color="auto" w:fill="auto"/>
            <w:vAlign w:val="center"/>
          </w:tcPr>
          <w:p w14:paraId="235BE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tcBorders>
              <w:top w:val="nil"/>
              <w:left w:val="nil"/>
              <w:bottom w:val="single" w:color="auto" w:sz="4" w:space="0"/>
              <w:right w:val="single" w:color="auto" w:sz="4" w:space="0"/>
            </w:tcBorders>
            <w:shd w:val="clear" w:color="auto" w:fill="auto"/>
            <w:vAlign w:val="center"/>
          </w:tcPr>
          <w:p w14:paraId="18DB8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38A6A0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6B734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41416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5613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EAB8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4CD3D71">
            <w:pPr>
              <w:widowControl/>
              <w:jc w:val="center"/>
              <w:rPr>
                <w:rFonts w:hint="eastAsia" w:ascii="宋体" w:hAnsi="宋体" w:cs="宋体"/>
                <w:color w:val="000000"/>
                <w:kern w:val="0"/>
                <w:sz w:val="20"/>
                <w:szCs w:val="20"/>
              </w:rPr>
            </w:pPr>
          </w:p>
        </w:tc>
      </w:tr>
      <w:tr w14:paraId="26EBA7A9">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B54E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31F2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C26D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98.5分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A15D5EF">
            <w:pPr>
              <w:widowControl/>
              <w:jc w:val="center"/>
              <w:rPr>
                <w:rFonts w:hint="eastAsia" w:ascii="宋体" w:hAnsi="宋体" w:cs="宋体"/>
                <w:color w:val="000000"/>
                <w:kern w:val="0"/>
                <w:sz w:val="20"/>
                <w:szCs w:val="20"/>
              </w:rPr>
            </w:pPr>
          </w:p>
        </w:tc>
      </w:tr>
    </w:tbl>
    <w:p w14:paraId="177A99C0">
      <w:pPr>
        <w:ind w:firstLine="643" w:firstLineChars="200"/>
        <w:jc w:val="left"/>
        <w:rPr>
          <w:rFonts w:hint="eastAsia" w:ascii="仿宋_GB2312" w:hAnsi="仿宋_GB2312" w:eastAsia="仿宋_GB2312" w:cs="仿宋_GB2312"/>
          <w:b/>
          <w:bCs/>
          <w:kern w:val="0"/>
          <w:sz w:val="32"/>
          <w:szCs w:val="32"/>
        </w:rPr>
      </w:pPr>
    </w:p>
    <w:tbl>
      <w:tblPr>
        <w:tblStyle w:val="9"/>
        <w:tblW w:w="4869" w:type="pct"/>
        <w:jc w:val="center"/>
        <w:tblLayout w:type="autofit"/>
        <w:tblCellMar>
          <w:top w:w="0" w:type="dxa"/>
          <w:left w:w="108" w:type="dxa"/>
          <w:bottom w:w="0" w:type="dxa"/>
          <w:right w:w="108" w:type="dxa"/>
        </w:tblCellMar>
      </w:tblPr>
      <w:tblGrid>
        <w:gridCol w:w="490"/>
        <w:gridCol w:w="491"/>
        <w:gridCol w:w="1536"/>
        <w:gridCol w:w="54"/>
        <w:gridCol w:w="900"/>
        <w:gridCol w:w="559"/>
        <w:gridCol w:w="886"/>
        <w:gridCol w:w="780"/>
        <w:gridCol w:w="242"/>
        <w:gridCol w:w="402"/>
        <w:gridCol w:w="255"/>
        <w:gridCol w:w="557"/>
        <w:gridCol w:w="396"/>
        <w:gridCol w:w="751"/>
      </w:tblGrid>
      <w:tr w14:paraId="45A76BFD">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2A2411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6855FD6">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2E6ACF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478CD7A2">
        <w:tblPrEx>
          <w:tblCellMar>
            <w:top w:w="0" w:type="dxa"/>
            <w:left w:w="108" w:type="dxa"/>
            <w:bottom w:w="0" w:type="dxa"/>
            <w:right w:w="108" w:type="dxa"/>
          </w:tblCellMar>
        </w:tblPrEx>
        <w:trPr>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BA5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389F0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阳光食品“PPP”项目</w:t>
            </w:r>
          </w:p>
        </w:tc>
      </w:tr>
      <w:tr w14:paraId="261BA93B">
        <w:tblPrEx>
          <w:tblCellMar>
            <w:top w:w="0" w:type="dxa"/>
            <w:left w:w="108" w:type="dxa"/>
            <w:bottom w:w="0" w:type="dxa"/>
            <w:right w:w="108" w:type="dxa"/>
          </w:tblCellMar>
        </w:tblPrEx>
        <w:trPr>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392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095B0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木垒哈萨克自治县市场监督管理局</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368A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60833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木垒哈萨克自治县市场监督管理局</w:t>
            </w:r>
          </w:p>
        </w:tc>
      </w:tr>
      <w:tr w14:paraId="47427AD6">
        <w:tblPrEx>
          <w:tblCellMar>
            <w:top w:w="0" w:type="dxa"/>
            <w:left w:w="108" w:type="dxa"/>
            <w:bottom w:w="0" w:type="dxa"/>
            <w:right w:w="108" w:type="dxa"/>
          </w:tblCellMar>
        </w:tblPrEx>
        <w:trPr>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381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182E7371">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490F7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0C30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40B6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5A52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CD10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2AF65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6CE8952">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5C6F302B">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3097C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4991D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BE8C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B95F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2569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F9FC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6E9B4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B68BAC8">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4C76E555">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848B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69F4D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1D2C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DFBF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7220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0896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28FA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F987F2">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361B1D46">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493EC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08ADB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0A6F8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737AC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7FEA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088B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7C0A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D37B17E">
        <w:tblPrEx>
          <w:tblCellMar>
            <w:top w:w="0" w:type="dxa"/>
            <w:left w:w="108" w:type="dxa"/>
            <w:bottom w:w="0" w:type="dxa"/>
            <w:right w:w="108" w:type="dxa"/>
          </w:tblCellMar>
        </w:tblPrEx>
        <w:trPr>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30E14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4D717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14188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148A618">
        <w:tblPrEx>
          <w:tblCellMar>
            <w:top w:w="0" w:type="dxa"/>
            <w:left w:w="108" w:type="dxa"/>
            <w:bottom w:w="0" w:type="dxa"/>
            <w:right w:w="108" w:type="dxa"/>
          </w:tblCellMar>
        </w:tblPrEx>
        <w:trPr>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CA0F3B5">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35B244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依据昌州政办〔2017〕29号文件要求，为全面落实利用互联网+、云视频监控、物联网等技术，整合食品产业大数据，实现食品生产经营全过程的数据化、可视化，不断提高</w:t>
            </w:r>
            <w:bookmarkStart w:id="50" w:name="_GoBack"/>
            <w:r>
              <w:rPr>
                <w:rFonts w:hint="eastAsia" w:ascii="宋体" w:hAnsi="宋体" w:cs="宋体"/>
                <w:color w:val="000000"/>
                <w:kern w:val="0"/>
                <w:sz w:val="20"/>
                <w:szCs w:val="20"/>
              </w:rPr>
              <w:t>木垒县</w:t>
            </w:r>
            <w:bookmarkEnd w:id="50"/>
            <w:r>
              <w:rPr>
                <w:rFonts w:hint="eastAsia" w:ascii="宋体" w:hAnsi="宋体" w:cs="宋体"/>
                <w:color w:val="000000"/>
                <w:kern w:val="0"/>
                <w:sz w:val="20"/>
                <w:szCs w:val="20"/>
              </w:rPr>
              <w:t>市场监督管理局食品安全监管能力。</w:t>
            </w:r>
          </w:p>
        </w:tc>
        <w:tc>
          <w:tcPr>
            <w:tcW w:w="3383" w:type="dxa"/>
            <w:gridSpan w:val="7"/>
            <w:tcBorders>
              <w:top w:val="single" w:color="auto" w:sz="4" w:space="0"/>
              <w:left w:val="nil"/>
              <w:bottom w:val="single" w:color="auto" w:sz="4" w:space="0"/>
              <w:right w:val="single" w:color="auto" w:sz="4" w:space="0"/>
            </w:tcBorders>
            <w:shd w:val="clear" w:color="auto" w:fill="auto"/>
          </w:tcPr>
          <w:p w14:paraId="1305D1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政办〔2017〕29号文件要求，为全面落实利用互联网+、云视频监控、物联网等技术，整合食品产业大数据，实现食品生产经营全过程的数据化、可视化，不断提高木垒县市场监督管理局食品安全监管能力。</w:t>
            </w:r>
          </w:p>
        </w:tc>
      </w:tr>
      <w:tr w14:paraId="464119ED">
        <w:tblPrEx>
          <w:tblCellMar>
            <w:top w:w="0" w:type="dxa"/>
            <w:left w:w="108" w:type="dxa"/>
            <w:bottom w:w="0" w:type="dxa"/>
            <w:right w:w="108" w:type="dxa"/>
          </w:tblCellMar>
        </w:tblPrEx>
        <w:trPr>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3B18C9ED">
            <w:pPr>
              <w:widowControl/>
              <w:jc w:val="center"/>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1074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36" w:type="dxa"/>
            <w:vMerge w:val="restart"/>
            <w:tcBorders>
              <w:top w:val="nil"/>
              <w:left w:val="single" w:color="auto" w:sz="4" w:space="0"/>
              <w:bottom w:val="single" w:color="auto" w:sz="4" w:space="0"/>
              <w:right w:val="single" w:color="auto" w:sz="4" w:space="0"/>
            </w:tcBorders>
            <w:shd w:val="clear" w:color="auto" w:fill="auto"/>
            <w:vAlign w:val="center"/>
          </w:tcPr>
          <w:p w14:paraId="50800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1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38D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52EC3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4ACFE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1ED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8B8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27B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F15EEB5">
        <w:tblPrEx>
          <w:tblCellMar>
            <w:top w:w="0" w:type="dxa"/>
            <w:left w:w="108" w:type="dxa"/>
            <w:bottom w:w="0" w:type="dxa"/>
            <w:right w:w="108" w:type="dxa"/>
          </w:tblCellMar>
        </w:tblPrEx>
        <w:trPr>
          <w:trHeight w:val="312"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A8C784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9EE49AE">
            <w:pPr>
              <w:widowControl/>
              <w:jc w:val="left"/>
              <w:rPr>
                <w:rFonts w:hint="eastAsia" w:ascii="宋体" w:hAnsi="宋体" w:cs="宋体"/>
                <w:color w:val="000000"/>
                <w:kern w:val="0"/>
                <w:sz w:val="20"/>
                <w:szCs w:val="20"/>
              </w:rPr>
            </w:pPr>
          </w:p>
        </w:tc>
        <w:tc>
          <w:tcPr>
            <w:tcW w:w="1536" w:type="dxa"/>
            <w:vMerge w:val="continue"/>
            <w:tcBorders>
              <w:top w:val="nil"/>
              <w:left w:val="single" w:color="auto" w:sz="4" w:space="0"/>
              <w:bottom w:val="single" w:color="auto" w:sz="4" w:space="0"/>
              <w:right w:val="single" w:color="auto" w:sz="4" w:space="0"/>
            </w:tcBorders>
            <w:vAlign w:val="center"/>
          </w:tcPr>
          <w:p w14:paraId="158D598D">
            <w:pPr>
              <w:widowControl/>
              <w:jc w:val="left"/>
              <w:rPr>
                <w:rFonts w:hint="eastAsia" w:ascii="宋体" w:hAnsi="宋体" w:cs="宋体"/>
                <w:color w:val="000000"/>
                <w:kern w:val="0"/>
                <w:sz w:val="20"/>
                <w:szCs w:val="20"/>
              </w:rPr>
            </w:pPr>
          </w:p>
        </w:tc>
        <w:tc>
          <w:tcPr>
            <w:tcW w:w="1513" w:type="dxa"/>
            <w:gridSpan w:val="3"/>
            <w:vMerge w:val="continue"/>
            <w:tcBorders>
              <w:top w:val="single" w:color="auto" w:sz="4" w:space="0"/>
              <w:left w:val="single" w:color="auto" w:sz="4" w:space="0"/>
              <w:bottom w:val="single" w:color="auto" w:sz="4" w:space="0"/>
              <w:right w:val="single" w:color="auto" w:sz="4" w:space="0"/>
            </w:tcBorders>
            <w:vAlign w:val="center"/>
          </w:tcPr>
          <w:p w14:paraId="6AB138AF">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2BD86FD6">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29472B8D">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2A5E8CA7">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0846A0A3">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188D4903">
            <w:pPr>
              <w:widowControl/>
              <w:jc w:val="left"/>
              <w:rPr>
                <w:rFonts w:hint="eastAsia" w:ascii="宋体" w:hAnsi="宋体" w:cs="宋体"/>
                <w:color w:val="000000"/>
                <w:kern w:val="0"/>
                <w:sz w:val="20"/>
                <w:szCs w:val="20"/>
              </w:rPr>
            </w:pPr>
          </w:p>
        </w:tc>
      </w:tr>
      <w:tr w14:paraId="7C40371C">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37738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70AB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36" w:type="dxa"/>
            <w:tcBorders>
              <w:top w:val="nil"/>
              <w:left w:val="nil"/>
              <w:bottom w:val="single" w:color="auto" w:sz="4" w:space="0"/>
              <w:right w:val="single" w:color="auto" w:sz="4" w:space="0"/>
            </w:tcBorders>
            <w:shd w:val="clear" w:color="auto" w:fill="auto"/>
            <w:vAlign w:val="center"/>
          </w:tcPr>
          <w:p w14:paraId="214AB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4A68E4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县域内餐饮行业监管次数</w:t>
            </w:r>
          </w:p>
        </w:tc>
        <w:tc>
          <w:tcPr>
            <w:tcW w:w="886" w:type="dxa"/>
            <w:tcBorders>
              <w:top w:val="nil"/>
              <w:left w:val="nil"/>
              <w:bottom w:val="single" w:color="auto" w:sz="4" w:space="0"/>
              <w:right w:val="single" w:color="auto" w:sz="4" w:space="0"/>
            </w:tcBorders>
            <w:shd w:val="clear" w:color="auto" w:fill="auto"/>
            <w:vAlign w:val="center"/>
          </w:tcPr>
          <w:p w14:paraId="35156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&gt;=150次</w:t>
            </w:r>
          </w:p>
        </w:tc>
        <w:tc>
          <w:tcPr>
            <w:tcW w:w="780" w:type="dxa"/>
            <w:tcBorders>
              <w:top w:val="nil"/>
              <w:left w:val="nil"/>
              <w:bottom w:val="single" w:color="auto" w:sz="4" w:space="0"/>
              <w:right w:val="single" w:color="auto" w:sz="4" w:space="0"/>
            </w:tcBorders>
            <w:shd w:val="clear" w:color="auto" w:fill="auto"/>
            <w:vAlign w:val="center"/>
          </w:tcPr>
          <w:p w14:paraId="10E74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38EEE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D6B2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3DAEF13">
            <w:pPr>
              <w:widowControl/>
              <w:jc w:val="center"/>
              <w:rPr>
                <w:rFonts w:hint="eastAsia" w:ascii="宋体" w:hAnsi="宋体" w:cs="宋体"/>
                <w:color w:val="000000"/>
                <w:kern w:val="0"/>
                <w:sz w:val="20"/>
                <w:szCs w:val="20"/>
              </w:rPr>
            </w:pPr>
          </w:p>
        </w:tc>
      </w:tr>
      <w:tr w14:paraId="3BD268F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68F243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C6DDD65">
            <w:pPr>
              <w:widowControl/>
              <w:jc w:val="left"/>
              <w:rPr>
                <w:rFonts w:hint="eastAsia" w:ascii="宋体" w:hAnsi="宋体" w:cs="宋体"/>
                <w:color w:val="000000"/>
                <w:kern w:val="0"/>
                <w:sz w:val="20"/>
                <w:szCs w:val="20"/>
              </w:rPr>
            </w:pPr>
          </w:p>
        </w:tc>
        <w:tc>
          <w:tcPr>
            <w:tcW w:w="1536" w:type="dxa"/>
            <w:tcBorders>
              <w:top w:val="nil"/>
              <w:left w:val="nil"/>
              <w:bottom w:val="single" w:color="auto" w:sz="4" w:space="0"/>
              <w:right w:val="single" w:color="auto" w:sz="4" w:space="0"/>
            </w:tcBorders>
            <w:shd w:val="clear" w:color="auto" w:fill="auto"/>
            <w:vAlign w:val="center"/>
          </w:tcPr>
          <w:p w14:paraId="1DD37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54744F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阳光食品项目监管次数</w:t>
            </w:r>
          </w:p>
        </w:tc>
        <w:tc>
          <w:tcPr>
            <w:tcW w:w="886" w:type="dxa"/>
            <w:tcBorders>
              <w:top w:val="nil"/>
              <w:left w:val="nil"/>
              <w:bottom w:val="single" w:color="auto" w:sz="4" w:space="0"/>
              <w:right w:val="single" w:color="auto" w:sz="4" w:space="0"/>
            </w:tcBorders>
            <w:shd w:val="clear" w:color="auto" w:fill="auto"/>
            <w:vAlign w:val="center"/>
          </w:tcPr>
          <w:p w14:paraId="0D1FA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12606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80F2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84BD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1897763">
            <w:pPr>
              <w:widowControl/>
              <w:jc w:val="center"/>
              <w:rPr>
                <w:rFonts w:hint="eastAsia" w:ascii="宋体" w:hAnsi="宋体" w:cs="宋体"/>
                <w:color w:val="000000"/>
                <w:kern w:val="0"/>
                <w:sz w:val="20"/>
                <w:szCs w:val="20"/>
              </w:rPr>
            </w:pPr>
          </w:p>
        </w:tc>
      </w:tr>
      <w:tr w14:paraId="62BB47AC">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2109A8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20507A2">
            <w:pPr>
              <w:widowControl/>
              <w:jc w:val="left"/>
              <w:rPr>
                <w:rFonts w:hint="eastAsia" w:ascii="宋体" w:hAnsi="宋体" w:cs="宋体"/>
                <w:color w:val="000000"/>
                <w:kern w:val="0"/>
                <w:sz w:val="20"/>
                <w:szCs w:val="20"/>
              </w:rPr>
            </w:pPr>
          </w:p>
        </w:tc>
        <w:tc>
          <w:tcPr>
            <w:tcW w:w="1536" w:type="dxa"/>
            <w:tcBorders>
              <w:top w:val="nil"/>
              <w:left w:val="nil"/>
              <w:bottom w:val="single" w:color="auto" w:sz="4" w:space="0"/>
              <w:right w:val="single" w:color="auto" w:sz="4" w:space="0"/>
            </w:tcBorders>
            <w:shd w:val="clear" w:color="auto" w:fill="auto"/>
            <w:vAlign w:val="center"/>
          </w:tcPr>
          <w:p w14:paraId="36029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1D39F1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阳光食品项目监管率</w:t>
            </w:r>
          </w:p>
        </w:tc>
        <w:tc>
          <w:tcPr>
            <w:tcW w:w="886" w:type="dxa"/>
            <w:tcBorders>
              <w:top w:val="nil"/>
              <w:left w:val="nil"/>
              <w:bottom w:val="single" w:color="auto" w:sz="4" w:space="0"/>
              <w:right w:val="single" w:color="auto" w:sz="4" w:space="0"/>
            </w:tcBorders>
            <w:shd w:val="clear" w:color="auto" w:fill="auto"/>
            <w:vAlign w:val="center"/>
          </w:tcPr>
          <w:p w14:paraId="52E81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2BBC4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0ABE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E21D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3163D40">
            <w:pPr>
              <w:widowControl/>
              <w:jc w:val="center"/>
              <w:rPr>
                <w:rFonts w:hint="eastAsia" w:ascii="宋体" w:hAnsi="宋体" w:cs="宋体"/>
                <w:color w:val="000000"/>
                <w:kern w:val="0"/>
                <w:sz w:val="20"/>
                <w:szCs w:val="20"/>
              </w:rPr>
            </w:pPr>
          </w:p>
        </w:tc>
      </w:tr>
      <w:tr w14:paraId="16DF35B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5B96DC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5B5FC8E">
            <w:pPr>
              <w:widowControl/>
              <w:jc w:val="left"/>
              <w:rPr>
                <w:rFonts w:hint="eastAsia" w:ascii="宋体" w:hAnsi="宋体" w:cs="宋体"/>
                <w:color w:val="000000"/>
                <w:kern w:val="0"/>
                <w:sz w:val="20"/>
                <w:szCs w:val="20"/>
              </w:rPr>
            </w:pPr>
          </w:p>
        </w:tc>
        <w:tc>
          <w:tcPr>
            <w:tcW w:w="1536" w:type="dxa"/>
            <w:tcBorders>
              <w:top w:val="nil"/>
              <w:left w:val="nil"/>
              <w:bottom w:val="single" w:color="auto" w:sz="4" w:space="0"/>
              <w:right w:val="single" w:color="auto" w:sz="4" w:space="0"/>
            </w:tcBorders>
            <w:shd w:val="clear" w:color="auto" w:fill="auto"/>
            <w:vAlign w:val="center"/>
          </w:tcPr>
          <w:p w14:paraId="61A6B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54E483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资金到位及时率</w:t>
            </w:r>
          </w:p>
        </w:tc>
        <w:tc>
          <w:tcPr>
            <w:tcW w:w="886" w:type="dxa"/>
            <w:tcBorders>
              <w:top w:val="nil"/>
              <w:left w:val="nil"/>
              <w:bottom w:val="single" w:color="auto" w:sz="4" w:space="0"/>
              <w:right w:val="single" w:color="auto" w:sz="4" w:space="0"/>
            </w:tcBorders>
            <w:shd w:val="clear" w:color="auto" w:fill="auto"/>
            <w:vAlign w:val="center"/>
          </w:tcPr>
          <w:p w14:paraId="5D84D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4BFAB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C865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90B9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BD670D7">
            <w:pPr>
              <w:widowControl/>
              <w:jc w:val="center"/>
              <w:rPr>
                <w:rFonts w:hint="eastAsia" w:ascii="宋体" w:hAnsi="宋体" w:cs="宋体"/>
                <w:color w:val="000000"/>
                <w:kern w:val="0"/>
                <w:sz w:val="20"/>
                <w:szCs w:val="20"/>
              </w:rPr>
            </w:pPr>
          </w:p>
        </w:tc>
      </w:tr>
      <w:tr w14:paraId="472D114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C1B90A9">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8895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36" w:type="dxa"/>
            <w:tcBorders>
              <w:top w:val="nil"/>
              <w:left w:val="nil"/>
              <w:bottom w:val="single" w:color="auto" w:sz="4" w:space="0"/>
              <w:right w:val="single" w:color="auto" w:sz="4" w:space="0"/>
            </w:tcBorders>
            <w:shd w:val="clear" w:color="auto" w:fill="auto"/>
            <w:vAlign w:val="center"/>
          </w:tcPr>
          <w:p w14:paraId="66D6A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53B294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04FF4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4FDD1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F51E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375E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D10008B">
            <w:pPr>
              <w:widowControl/>
              <w:jc w:val="center"/>
              <w:rPr>
                <w:rFonts w:hint="eastAsia" w:ascii="宋体" w:hAnsi="宋体" w:cs="宋体"/>
                <w:color w:val="000000"/>
                <w:kern w:val="0"/>
                <w:sz w:val="20"/>
                <w:szCs w:val="20"/>
              </w:rPr>
            </w:pPr>
          </w:p>
        </w:tc>
      </w:tr>
      <w:tr w14:paraId="67A22A1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6FBA7D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F625938">
            <w:pPr>
              <w:widowControl/>
              <w:jc w:val="left"/>
              <w:rPr>
                <w:rFonts w:hint="eastAsia" w:ascii="宋体" w:hAnsi="宋体" w:cs="宋体"/>
                <w:color w:val="000000"/>
                <w:kern w:val="0"/>
                <w:sz w:val="20"/>
                <w:szCs w:val="20"/>
              </w:rPr>
            </w:pPr>
          </w:p>
        </w:tc>
        <w:tc>
          <w:tcPr>
            <w:tcW w:w="1536" w:type="dxa"/>
            <w:tcBorders>
              <w:top w:val="nil"/>
              <w:left w:val="nil"/>
              <w:bottom w:val="single" w:color="auto" w:sz="4" w:space="0"/>
              <w:right w:val="single" w:color="auto" w:sz="4" w:space="0"/>
            </w:tcBorders>
            <w:shd w:val="clear" w:color="auto" w:fill="auto"/>
            <w:vAlign w:val="center"/>
          </w:tcPr>
          <w:p w14:paraId="1B056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3A4F04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餐饮店相关投诉率</w:t>
            </w:r>
          </w:p>
        </w:tc>
        <w:tc>
          <w:tcPr>
            <w:tcW w:w="886" w:type="dxa"/>
            <w:tcBorders>
              <w:top w:val="nil"/>
              <w:left w:val="nil"/>
              <w:bottom w:val="single" w:color="auto" w:sz="4" w:space="0"/>
              <w:right w:val="single" w:color="auto" w:sz="4" w:space="0"/>
            </w:tcBorders>
            <w:shd w:val="clear" w:color="auto" w:fill="auto"/>
            <w:vAlign w:val="center"/>
          </w:tcPr>
          <w:p w14:paraId="0468F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4AF62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154B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AD30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DD84A9B">
            <w:pPr>
              <w:widowControl/>
              <w:jc w:val="center"/>
              <w:rPr>
                <w:rFonts w:hint="eastAsia" w:ascii="宋体" w:hAnsi="宋体" w:cs="宋体"/>
                <w:color w:val="000000"/>
                <w:kern w:val="0"/>
                <w:sz w:val="20"/>
                <w:szCs w:val="20"/>
              </w:rPr>
            </w:pPr>
          </w:p>
        </w:tc>
      </w:tr>
      <w:tr w14:paraId="4D345182">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3BCDE9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FB45D88">
            <w:pPr>
              <w:widowControl/>
              <w:jc w:val="left"/>
              <w:rPr>
                <w:rFonts w:hint="eastAsia" w:ascii="宋体" w:hAnsi="宋体" w:cs="宋体"/>
                <w:color w:val="000000"/>
                <w:kern w:val="0"/>
                <w:sz w:val="20"/>
                <w:szCs w:val="20"/>
              </w:rPr>
            </w:pPr>
          </w:p>
        </w:tc>
        <w:tc>
          <w:tcPr>
            <w:tcW w:w="1536" w:type="dxa"/>
            <w:tcBorders>
              <w:top w:val="nil"/>
              <w:left w:val="nil"/>
              <w:bottom w:val="single" w:color="auto" w:sz="4" w:space="0"/>
              <w:right w:val="single" w:color="auto" w:sz="4" w:space="0"/>
            </w:tcBorders>
            <w:shd w:val="clear" w:color="auto" w:fill="auto"/>
            <w:vAlign w:val="center"/>
          </w:tcPr>
          <w:p w14:paraId="45753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3C8B82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食品安全监管水平提高率</w:t>
            </w:r>
          </w:p>
        </w:tc>
        <w:tc>
          <w:tcPr>
            <w:tcW w:w="886" w:type="dxa"/>
            <w:tcBorders>
              <w:top w:val="nil"/>
              <w:left w:val="nil"/>
              <w:bottom w:val="single" w:color="auto" w:sz="4" w:space="0"/>
              <w:right w:val="single" w:color="auto" w:sz="4" w:space="0"/>
            </w:tcBorders>
            <w:shd w:val="clear" w:color="auto" w:fill="auto"/>
            <w:vAlign w:val="center"/>
          </w:tcPr>
          <w:p w14:paraId="4F071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5D829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511C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6880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B52CD74">
            <w:pPr>
              <w:widowControl/>
              <w:jc w:val="center"/>
              <w:rPr>
                <w:rFonts w:hint="eastAsia" w:ascii="宋体" w:hAnsi="宋体" w:cs="宋体"/>
                <w:color w:val="000000"/>
                <w:kern w:val="0"/>
                <w:sz w:val="20"/>
                <w:szCs w:val="20"/>
              </w:rPr>
            </w:pPr>
          </w:p>
        </w:tc>
      </w:tr>
      <w:tr w14:paraId="4B2B4F8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AC446DB">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06DF3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6" w:type="dxa"/>
            <w:tcBorders>
              <w:top w:val="nil"/>
              <w:left w:val="nil"/>
              <w:bottom w:val="single" w:color="auto" w:sz="4" w:space="0"/>
              <w:right w:val="single" w:color="auto" w:sz="4" w:space="0"/>
            </w:tcBorders>
            <w:shd w:val="clear" w:color="auto" w:fill="auto"/>
            <w:vAlign w:val="center"/>
          </w:tcPr>
          <w:p w14:paraId="3B452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3" w:type="dxa"/>
            <w:gridSpan w:val="3"/>
            <w:tcBorders>
              <w:top w:val="single" w:color="auto" w:sz="4" w:space="0"/>
              <w:left w:val="nil"/>
              <w:bottom w:val="single" w:color="auto" w:sz="4" w:space="0"/>
              <w:right w:val="single" w:color="auto" w:sz="4" w:space="0"/>
            </w:tcBorders>
            <w:shd w:val="clear" w:color="auto" w:fill="auto"/>
            <w:noWrap/>
            <w:vAlign w:val="center"/>
          </w:tcPr>
          <w:p w14:paraId="673120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86" w:type="dxa"/>
            <w:tcBorders>
              <w:top w:val="nil"/>
              <w:left w:val="nil"/>
              <w:bottom w:val="single" w:color="auto" w:sz="4" w:space="0"/>
              <w:right w:val="single" w:color="auto" w:sz="4" w:space="0"/>
            </w:tcBorders>
            <w:shd w:val="clear" w:color="auto" w:fill="auto"/>
            <w:vAlign w:val="center"/>
          </w:tcPr>
          <w:p w14:paraId="62C55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47CEF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AEA9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3CCD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3A1687A">
            <w:pPr>
              <w:widowControl/>
              <w:jc w:val="center"/>
              <w:rPr>
                <w:rFonts w:hint="eastAsia" w:ascii="宋体" w:hAnsi="宋体" w:cs="宋体"/>
                <w:color w:val="000000"/>
                <w:kern w:val="0"/>
                <w:sz w:val="20"/>
                <w:szCs w:val="20"/>
              </w:rPr>
            </w:pPr>
          </w:p>
        </w:tc>
      </w:tr>
      <w:tr w14:paraId="6AA73BBB">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796E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230C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457E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B11C229">
            <w:pPr>
              <w:widowControl/>
              <w:jc w:val="center"/>
              <w:rPr>
                <w:rFonts w:hint="eastAsia" w:ascii="宋体" w:hAnsi="宋体" w:cs="宋体"/>
                <w:color w:val="000000"/>
                <w:kern w:val="0"/>
                <w:sz w:val="20"/>
                <w:szCs w:val="20"/>
              </w:rPr>
            </w:pPr>
          </w:p>
        </w:tc>
      </w:tr>
    </w:tbl>
    <w:p w14:paraId="3E52EAB4">
      <w:pPr>
        <w:ind w:firstLine="643" w:firstLineChars="200"/>
        <w:jc w:val="left"/>
        <w:rPr>
          <w:rFonts w:hint="eastAsia" w:ascii="仿宋_GB2312" w:hAnsi="仿宋_GB2312" w:eastAsia="仿宋_GB2312" w:cs="仿宋_GB2312"/>
          <w:b/>
          <w:bCs/>
          <w:kern w:val="0"/>
          <w:sz w:val="32"/>
          <w:szCs w:val="32"/>
        </w:rPr>
      </w:pPr>
    </w:p>
    <w:p w14:paraId="3955D730">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D2D24D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w:t>
      </w:r>
      <w:r>
        <w:rPr>
          <w:rFonts w:hint="eastAsia" w:ascii="仿宋_GB2312" w:hAnsi="仿宋_GB2312" w:eastAsia="仿宋_GB2312" w:cs="仿宋_GB2312"/>
          <w:kern w:val="0"/>
          <w:sz w:val="32"/>
          <w:szCs w:val="32"/>
          <w:lang w:val="en-US" w:eastAsia="zh-CN"/>
        </w:rPr>
        <w:t>的</w:t>
      </w:r>
      <w:r>
        <w:rPr>
          <w:rFonts w:hint="eastAsia" w:ascii="仿宋_GB2312" w:hAnsi="仿宋_GB2312" w:eastAsia="仿宋_GB2312" w:cs="仿宋_GB2312"/>
          <w:kern w:val="0"/>
          <w:sz w:val="32"/>
          <w:szCs w:val="32"/>
        </w:rPr>
        <w:t>事项。</w:t>
      </w:r>
    </w:p>
    <w:p w14:paraId="664929B2">
      <w:pPr>
        <w:jc w:val="center"/>
        <w:outlineLvl w:val="0"/>
        <w:rPr>
          <w:rFonts w:hint="eastAsia" w:ascii="黑体" w:hAnsi="黑体" w:eastAsia="黑体"/>
          <w:sz w:val="32"/>
          <w:szCs w:val="32"/>
        </w:rPr>
      </w:pPr>
      <w:bookmarkStart w:id="32" w:name="_Toc3250"/>
      <w:bookmarkStart w:id="33"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2"/>
      <w:bookmarkEnd w:id="33"/>
    </w:p>
    <w:p w14:paraId="1FD17F2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30723A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3EF918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8AE323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DCA64B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885B0E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BE1005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1D5C7D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60679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A72AF3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CB8ED5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D76991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9DD04A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08D5C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0FD51D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1386669">
      <w:pPr>
        <w:ind w:firstLine="640" w:firstLineChars="200"/>
        <w:outlineLvl w:val="1"/>
        <w:rPr>
          <w:rFonts w:hint="eastAsia" w:ascii="黑体" w:hAnsi="黑体" w:eastAsia="仿宋_GB2312" w:cs="宋体"/>
          <w:bCs/>
          <w:kern w:val="0"/>
          <w:sz w:val="32"/>
          <w:szCs w:val="32"/>
        </w:rPr>
      </w:pPr>
      <w:bookmarkStart w:id="34" w:name="_Toc6062"/>
      <w:bookmarkStart w:id="35" w:name="_Toc2183"/>
      <w:r>
        <w:rPr>
          <w:rFonts w:hint="eastAsia" w:ascii="黑体" w:hAnsi="黑体" w:eastAsia="仿宋_GB2312" w:cs="宋体"/>
          <w:bCs/>
          <w:kern w:val="0"/>
          <w:sz w:val="32"/>
          <w:szCs w:val="32"/>
        </w:rPr>
        <w:t>一、《收入支出决算总表》</w:t>
      </w:r>
      <w:bookmarkEnd w:id="34"/>
      <w:bookmarkEnd w:id="35"/>
    </w:p>
    <w:p w14:paraId="4BBDBFC8">
      <w:pPr>
        <w:ind w:firstLine="640" w:firstLineChars="200"/>
        <w:outlineLvl w:val="1"/>
        <w:rPr>
          <w:rFonts w:hint="eastAsia" w:ascii="黑体" w:hAnsi="黑体" w:eastAsia="仿宋_GB2312" w:cs="宋体"/>
          <w:bCs/>
          <w:kern w:val="0"/>
          <w:sz w:val="32"/>
          <w:szCs w:val="32"/>
        </w:rPr>
      </w:pPr>
      <w:bookmarkStart w:id="36" w:name="_Toc24532"/>
      <w:bookmarkStart w:id="37" w:name="_Toc30364"/>
      <w:r>
        <w:rPr>
          <w:rFonts w:hint="eastAsia" w:ascii="黑体" w:hAnsi="黑体" w:eastAsia="仿宋_GB2312" w:cs="宋体"/>
          <w:bCs/>
          <w:kern w:val="0"/>
          <w:sz w:val="32"/>
          <w:szCs w:val="32"/>
        </w:rPr>
        <w:t>二、《收入决算表》</w:t>
      </w:r>
      <w:bookmarkEnd w:id="36"/>
      <w:bookmarkEnd w:id="37"/>
    </w:p>
    <w:p w14:paraId="49733C3D">
      <w:pPr>
        <w:ind w:firstLine="640" w:firstLineChars="200"/>
        <w:outlineLvl w:val="1"/>
        <w:rPr>
          <w:rFonts w:hint="eastAsia" w:ascii="黑体" w:hAnsi="黑体" w:eastAsia="仿宋_GB2312" w:cs="宋体"/>
          <w:bCs/>
          <w:kern w:val="0"/>
          <w:sz w:val="32"/>
          <w:szCs w:val="32"/>
        </w:rPr>
      </w:pPr>
      <w:bookmarkStart w:id="38" w:name="_Toc21304"/>
      <w:bookmarkStart w:id="39" w:name="_Toc32434"/>
      <w:r>
        <w:rPr>
          <w:rFonts w:hint="eastAsia" w:ascii="黑体" w:hAnsi="黑体" w:eastAsia="仿宋_GB2312" w:cs="宋体"/>
          <w:bCs/>
          <w:kern w:val="0"/>
          <w:sz w:val="32"/>
          <w:szCs w:val="32"/>
        </w:rPr>
        <w:t>三、《支出决算表》</w:t>
      </w:r>
      <w:bookmarkEnd w:id="38"/>
      <w:bookmarkEnd w:id="39"/>
    </w:p>
    <w:p w14:paraId="64DACF2B">
      <w:pPr>
        <w:ind w:firstLine="640" w:firstLineChars="200"/>
        <w:outlineLvl w:val="1"/>
        <w:rPr>
          <w:rFonts w:hint="eastAsia" w:ascii="黑体" w:hAnsi="黑体" w:eastAsia="仿宋_GB2312" w:cs="宋体"/>
          <w:bCs/>
          <w:kern w:val="0"/>
          <w:sz w:val="32"/>
          <w:szCs w:val="32"/>
        </w:rPr>
      </w:pPr>
      <w:bookmarkStart w:id="40" w:name="_Toc14238"/>
      <w:bookmarkStart w:id="41" w:name="_Toc28786"/>
      <w:r>
        <w:rPr>
          <w:rFonts w:hint="eastAsia" w:ascii="黑体" w:hAnsi="黑体" w:eastAsia="仿宋_GB2312" w:cs="宋体"/>
          <w:bCs/>
          <w:kern w:val="0"/>
          <w:sz w:val="32"/>
          <w:szCs w:val="32"/>
        </w:rPr>
        <w:t>四、《财政拨款收入支出决算总表》</w:t>
      </w:r>
      <w:bookmarkEnd w:id="40"/>
      <w:bookmarkEnd w:id="41"/>
    </w:p>
    <w:p w14:paraId="394A8AC0">
      <w:pPr>
        <w:ind w:firstLine="640" w:firstLineChars="200"/>
        <w:outlineLvl w:val="1"/>
        <w:rPr>
          <w:rFonts w:hint="eastAsia" w:ascii="黑体" w:hAnsi="黑体" w:eastAsia="仿宋_GB2312" w:cs="宋体"/>
          <w:bCs/>
          <w:kern w:val="0"/>
          <w:sz w:val="32"/>
          <w:szCs w:val="32"/>
        </w:rPr>
      </w:pPr>
      <w:bookmarkStart w:id="42" w:name="_Toc10347"/>
      <w:bookmarkStart w:id="43" w:name="_Toc14869"/>
      <w:r>
        <w:rPr>
          <w:rFonts w:hint="eastAsia" w:ascii="黑体" w:hAnsi="黑体" w:eastAsia="仿宋_GB2312" w:cs="宋体"/>
          <w:bCs/>
          <w:kern w:val="0"/>
          <w:sz w:val="32"/>
          <w:szCs w:val="32"/>
        </w:rPr>
        <w:t>五、《一般公共预算财政拨款支出决算表》</w:t>
      </w:r>
      <w:bookmarkEnd w:id="42"/>
      <w:bookmarkEnd w:id="43"/>
    </w:p>
    <w:p w14:paraId="7BB9B154">
      <w:pPr>
        <w:ind w:firstLine="640" w:firstLineChars="200"/>
        <w:outlineLvl w:val="1"/>
        <w:rPr>
          <w:rFonts w:hint="eastAsia" w:ascii="黑体" w:hAnsi="黑体" w:eastAsia="仿宋_GB2312" w:cs="宋体"/>
          <w:bCs/>
          <w:kern w:val="0"/>
          <w:sz w:val="32"/>
          <w:szCs w:val="32"/>
        </w:rPr>
      </w:pPr>
      <w:bookmarkStart w:id="44" w:name="_Toc5626"/>
      <w:bookmarkStart w:id="45" w:name="_Toc8884"/>
      <w:r>
        <w:rPr>
          <w:rFonts w:hint="eastAsia" w:ascii="黑体" w:hAnsi="黑体" w:eastAsia="仿宋_GB2312" w:cs="宋体"/>
          <w:bCs/>
          <w:kern w:val="0"/>
          <w:sz w:val="32"/>
          <w:szCs w:val="32"/>
        </w:rPr>
        <w:t>六、《一般公共预算财政拨款基本支出决算表》</w:t>
      </w:r>
      <w:bookmarkEnd w:id="44"/>
      <w:bookmarkEnd w:id="45"/>
    </w:p>
    <w:p w14:paraId="1DD4CB9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6" w:name="_Toc29106"/>
      <w:bookmarkStart w:id="47" w:name="_Toc32663"/>
      <w:r>
        <w:rPr>
          <w:rFonts w:hint="eastAsia" w:ascii="黑体" w:hAnsi="黑体" w:eastAsia="仿宋_GB2312" w:cs="宋体"/>
          <w:bCs/>
          <w:kern w:val="0"/>
          <w:sz w:val="32"/>
          <w:szCs w:val="32"/>
        </w:rPr>
        <w:t>《财政拨款“三公”经费支出决算表》</w:t>
      </w:r>
      <w:bookmarkEnd w:id="46"/>
      <w:bookmarkEnd w:id="47"/>
    </w:p>
    <w:p w14:paraId="0793453D">
      <w:pPr>
        <w:ind w:firstLine="640" w:firstLineChars="200"/>
        <w:outlineLvl w:val="1"/>
        <w:rPr>
          <w:rFonts w:hint="eastAsia" w:ascii="黑体" w:hAnsi="黑体" w:eastAsia="仿宋_GB2312" w:cs="宋体"/>
          <w:bCs/>
          <w:kern w:val="0"/>
          <w:sz w:val="32"/>
          <w:szCs w:val="32"/>
        </w:rPr>
      </w:pPr>
      <w:bookmarkStart w:id="48" w:name="_Toc5453"/>
      <w:bookmarkStart w:id="49" w:name="_Toc7643"/>
      <w:r>
        <w:rPr>
          <w:rFonts w:hint="eastAsia" w:ascii="黑体" w:hAnsi="黑体" w:eastAsia="仿宋_GB2312" w:cs="宋体"/>
          <w:bCs/>
          <w:kern w:val="0"/>
          <w:sz w:val="32"/>
          <w:szCs w:val="32"/>
        </w:rPr>
        <w:t>八、《政府性基金预算财政拨款收入支出决算表》</w:t>
      </w:r>
      <w:bookmarkEnd w:id="48"/>
      <w:bookmarkEnd w:id="49"/>
    </w:p>
    <w:p w14:paraId="37D3DF6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62EF6CB">
      <w:pPr>
        <w:ind w:firstLine="640" w:firstLineChars="200"/>
        <w:rPr>
          <w:rFonts w:ascii="仿宋_GB2312" w:eastAsia="仿宋_GB2312"/>
          <w:sz w:val="32"/>
          <w:szCs w:val="32"/>
        </w:rPr>
      </w:pPr>
    </w:p>
    <w:p w14:paraId="62BEAB4D">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9552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BA126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9BA126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3D629A"/>
    <w:rsid w:val="00061C5E"/>
    <w:rsid w:val="000D727B"/>
    <w:rsid w:val="00172834"/>
    <w:rsid w:val="001F6251"/>
    <w:rsid w:val="00213C59"/>
    <w:rsid w:val="002A0334"/>
    <w:rsid w:val="002B0770"/>
    <w:rsid w:val="002C2704"/>
    <w:rsid w:val="003210CE"/>
    <w:rsid w:val="00344A01"/>
    <w:rsid w:val="003C0119"/>
    <w:rsid w:val="003D629A"/>
    <w:rsid w:val="00447189"/>
    <w:rsid w:val="004D4A72"/>
    <w:rsid w:val="004E236B"/>
    <w:rsid w:val="005D0DB5"/>
    <w:rsid w:val="005E10C3"/>
    <w:rsid w:val="00613927"/>
    <w:rsid w:val="006A4B4E"/>
    <w:rsid w:val="006A7C25"/>
    <w:rsid w:val="006D367F"/>
    <w:rsid w:val="007C1458"/>
    <w:rsid w:val="007C1FC4"/>
    <w:rsid w:val="0087664D"/>
    <w:rsid w:val="008D24E7"/>
    <w:rsid w:val="0094090B"/>
    <w:rsid w:val="00993028"/>
    <w:rsid w:val="009C2F2C"/>
    <w:rsid w:val="00A07A31"/>
    <w:rsid w:val="00A24191"/>
    <w:rsid w:val="00AA2CBA"/>
    <w:rsid w:val="00B52491"/>
    <w:rsid w:val="00B56FB9"/>
    <w:rsid w:val="00B70D59"/>
    <w:rsid w:val="00C46822"/>
    <w:rsid w:val="00C603A9"/>
    <w:rsid w:val="00CC581D"/>
    <w:rsid w:val="00D37CFF"/>
    <w:rsid w:val="00D6706A"/>
    <w:rsid w:val="00DA3D0F"/>
    <w:rsid w:val="00E03255"/>
    <w:rsid w:val="00E24A4E"/>
    <w:rsid w:val="00ED0612"/>
    <w:rsid w:val="00F52A8D"/>
    <w:rsid w:val="00F5757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576B76"/>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5947</Words>
  <Characters>6945</Characters>
  <Lines>85</Lines>
  <Paragraphs>24</Paragraphs>
  <TotalTime>20</TotalTime>
  <ScaleCrop>false</ScaleCrop>
  <LinksUpToDate>false</LinksUpToDate>
  <CharactersWithSpaces>7006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2024-12-05T03:58:46Z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